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rsidP="00B90112">
      <w:pPr>
        <w:pStyle w:val="a4"/>
        <w:numPr>
          <w:ilvl w:val="1"/>
          <w:numId w:val="10"/>
        </w:numPr>
        <w:tabs>
          <w:tab w:val="left" w:pos="1230"/>
        </w:tabs>
        <w:spacing w:before="109"/>
        <w:ind w:right="22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B90112">
        <w:rPr>
          <w:b/>
          <w:sz w:val="20"/>
        </w:rPr>
        <w:t>«</w:t>
      </w:r>
      <w:r w:rsidR="00B90112" w:rsidRPr="00B90112">
        <w:rPr>
          <w:b/>
          <w:sz w:val="20"/>
        </w:rPr>
        <w:t>Управление муниципальной собственностью в сфере земельных и имущественных отношений</w:t>
      </w:r>
      <w:r w:rsidR="00B90112">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4658FA">
        <w:rPr>
          <w:sz w:val="20"/>
        </w:rPr>
        <w:t>503 часа</w:t>
      </w:r>
      <w:r>
        <w:rPr>
          <w:sz w:val="20"/>
        </w:rPr>
        <w:t>, срок освоения образовательной программы (продолжительность обучения) -</w:t>
      </w:r>
      <w:r w:rsidR="004658FA">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Style w:val="1"/>
        <w:tblW w:w="9356" w:type="dxa"/>
        <w:tblInd w:w="108" w:type="dxa"/>
        <w:tblLayout w:type="fixed"/>
        <w:tblLook w:val="0000" w:firstRow="0" w:lastRow="0" w:firstColumn="0" w:lastColumn="0" w:noHBand="0" w:noVBand="0"/>
      </w:tblPr>
      <w:tblGrid>
        <w:gridCol w:w="567"/>
        <w:gridCol w:w="4111"/>
        <w:gridCol w:w="992"/>
        <w:gridCol w:w="1134"/>
        <w:gridCol w:w="1134"/>
        <w:gridCol w:w="1418"/>
      </w:tblGrid>
      <w:tr w:rsidR="00B90112" w:rsidRPr="003F34B6" w:rsidTr="001375CB">
        <w:trPr>
          <w:trHeight w:val="1134"/>
        </w:trPr>
        <w:tc>
          <w:tcPr>
            <w:tcW w:w="567" w:type="dxa"/>
            <w:vMerge w:val="restart"/>
            <w:vAlign w:val="center"/>
          </w:tcPr>
          <w:p w:rsidR="00B90112" w:rsidRPr="003F34B6" w:rsidRDefault="00B90112" w:rsidP="00B90112">
            <w:pPr>
              <w:shd w:val="clear" w:color="auto" w:fill="FFFFFF"/>
              <w:rPr>
                <w:rFonts w:eastAsia="Calibri"/>
                <w:sz w:val="16"/>
                <w:szCs w:val="16"/>
                <w:lang w:eastAsia="en-US" w:bidi="ar-SA"/>
              </w:rPr>
            </w:pPr>
            <w:r w:rsidRPr="003F34B6">
              <w:rPr>
                <w:rFonts w:eastAsia="Calibri"/>
                <w:bCs/>
                <w:color w:val="000000"/>
                <w:sz w:val="16"/>
                <w:szCs w:val="16"/>
                <w:lang w:eastAsia="en-US" w:bidi="ar-SA"/>
              </w:rPr>
              <w:t xml:space="preserve">№ </w:t>
            </w:r>
            <w:r w:rsidRPr="003F34B6">
              <w:rPr>
                <w:rFonts w:eastAsia="Calibri"/>
                <w:bCs/>
                <w:color w:val="000000"/>
                <w:spacing w:val="-11"/>
                <w:sz w:val="16"/>
                <w:szCs w:val="16"/>
                <w:lang w:eastAsia="en-US" w:bidi="ar-SA"/>
              </w:rPr>
              <w:t>п/п</w:t>
            </w:r>
          </w:p>
        </w:tc>
        <w:tc>
          <w:tcPr>
            <w:tcW w:w="4111" w:type="dxa"/>
            <w:vMerge w:val="restart"/>
            <w:vAlign w:val="center"/>
          </w:tcPr>
          <w:p w:rsidR="00B90112" w:rsidRPr="003F34B6" w:rsidRDefault="00B90112" w:rsidP="00B90112">
            <w:pPr>
              <w:shd w:val="clear" w:color="auto" w:fill="FFFFFF"/>
              <w:spacing w:line="360" w:lineRule="auto"/>
              <w:rPr>
                <w:rFonts w:eastAsia="Calibri"/>
                <w:sz w:val="16"/>
                <w:szCs w:val="16"/>
                <w:lang w:eastAsia="en-US" w:bidi="ar-SA"/>
              </w:rPr>
            </w:pPr>
            <w:r w:rsidRPr="003F34B6">
              <w:rPr>
                <w:rFonts w:eastAsia="Calibri"/>
                <w:bCs/>
                <w:color w:val="000000"/>
                <w:spacing w:val="-1"/>
                <w:sz w:val="16"/>
                <w:szCs w:val="16"/>
                <w:lang w:eastAsia="en-US" w:bidi="ar-SA"/>
              </w:rPr>
              <w:t>Наименование разделов и тем</w:t>
            </w:r>
          </w:p>
        </w:tc>
        <w:tc>
          <w:tcPr>
            <w:tcW w:w="992" w:type="dxa"/>
            <w:vMerge w:val="restart"/>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Всего, час</w:t>
            </w:r>
          </w:p>
        </w:tc>
        <w:tc>
          <w:tcPr>
            <w:tcW w:w="2268" w:type="dxa"/>
            <w:gridSpan w:val="2"/>
            <w:vAlign w:val="center"/>
          </w:tcPr>
          <w:p w:rsidR="00B90112" w:rsidRPr="003F34B6" w:rsidRDefault="00B90112" w:rsidP="00B90112">
            <w:pPr>
              <w:rPr>
                <w:rFonts w:eastAsia="Calibri"/>
                <w:bCs/>
                <w:sz w:val="16"/>
                <w:szCs w:val="16"/>
                <w:lang w:eastAsia="en-US" w:bidi="ar-SA"/>
              </w:rPr>
            </w:pPr>
            <w:r w:rsidRPr="003F34B6">
              <w:rPr>
                <w:rFonts w:eastAsia="Calibri"/>
                <w:sz w:val="16"/>
                <w:szCs w:val="16"/>
                <w:lang w:eastAsia="en-US" w:bidi="ar-SA"/>
              </w:rPr>
              <w:t>В том числе</w:t>
            </w:r>
          </w:p>
        </w:tc>
        <w:tc>
          <w:tcPr>
            <w:tcW w:w="1418" w:type="dxa"/>
            <w:vMerge w:val="restart"/>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 xml:space="preserve">Форма </w:t>
            </w:r>
          </w:p>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контроля</w:t>
            </w:r>
          </w:p>
        </w:tc>
      </w:tr>
      <w:tr w:rsidR="00B90112" w:rsidRPr="003F34B6" w:rsidTr="003F34B6">
        <w:trPr>
          <w:trHeight w:val="548"/>
        </w:trPr>
        <w:tc>
          <w:tcPr>
            <w:tcW w:w="567" w:type="dxa"/>
            <w:vMerge/>
          </w:tcPr>
          <w:p w:rsidR="00B90112" w:rsidRPr="003F34B6" w:rsidRDefault="00B90112" w:rsidP="00B90112">
            <w:pPr>
              <w:shd w:val="clear" w:color="auto" w:fill="FFFFFF"/>
              <w:spacing w:line="360" w:lineRule="auto"/>
              <w:rPr>
                <w:rFonts w:eastAsia="Calibri"/>
                <w:bCs/>
                <w:color w:val="000000"/>
                <w:sz w:val="16"/>
                <w:szCs w:val="16"/>
                <w:lang w:eastAsia="en-US" w:bidi="ar-SA"/>
              </w:rPr>
            </w:pPr>
          </w:p>
        </w:tc>
        <w:tc>
          <w:tcPr>
            <w:tcW w:w="4111" w:type="dxa"/>
            <w:vMerge/>
          </w:tcPr>
          <w:p w:rsidR="00B90112" w:rsidRPr="003F34B6" w:rsidRDefault="00B90112" w:rsidP="00B90112">
            <w:pPr>
              <w:shd w:val="clear" w:color="auto" w:fill="FFFFFF"/>
              <w:spacing w:line="360" w:lineRule="auto"/>
              <w:ind w:left="1634"/>
              <w:rPr>
                <w:rFonts w:eastAsia="Calibri"/>
                <w:bCs/>
                <w:color w:val="000000"/>
                <w:spacing w:val="-1"/>
                <w:sz w:val="16"/>
                <w:szCs w:val="16"/>
                <w:lang w:eastAsia="en-US" w:bidi="ar-SA"/>
              </w:rPr>
            </w:pPr>
          </w:p>
        </w:tc>
        <w:tc>
          <w:tcPr>
            <w:tcW w:w="992" w:type="dxa"/>
            <w:vMerge/>
          </w:tcPr>
          <w:p w:rsidR="00B90112" w:rsidRPr="003F34B6" w:rsidRDefault="00B90112" w:rsidP="00B90112">
            <w:pPr>
              <w:spacing w:line="360" w:lineRule="auto"/>
              <w:rPr>
                <w:rFonts w:eastAsia="Calibri"/>
                <w:bCs/>
                <w:sz w:val="16"/>
                <w:szCs w:val="16"/>
                <w:lang w:eastAsia="en-US" w:bidi="ar-SA"/>
              </w:rPr>
            </w:pPr>
          </w:p>
        </w:tc>
        <w:tc>
          <w:tcPr>
            <w:tcW w:w="1134" w:type="dxa"/>
            <w:vAlign w:val="center"/>
          </w:tcPr>
          <w:p w:rsidR="00B90112" w:rsidRPr="003F34B6" w:rsidRDefault="00B90112" w:rsidP="00B90112">
            <w:pPr>
              <w:spacing w:line="360" w:lineRule="auto"/>
              <w:rPr>
                <w:rFonts w:eastAsia="Calibri"/>
                <w:bCs/>
                <w:sz w:val="16"/>
                <w:szCs w:val="16"/>
                <w:lang w:eastAsia="en-US" w:bidi="ar-SA"/>
              </w:rPr>
            </w:pPr>
            <w:r w:rsidRPr="003F34B6">
              <w:rPr>
                <w:rFonts w:eastAsia="Calibri"/>
                <w:bCs/>
                <w:sz w:val="16"/>
                <w:szCs w:val="16"/>
                <w:lang w:val="en-US" w:eastAsia="en-US" w:bidi="ar-SA"/>
              </w:rPr>
              <w:t>Лекции</w:t>
            </w:r>
          </w:p>
        </w:tc>
        <w:tc>
          <w:tcPr>
            <w:tcW w:w="1134"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Практ. занятия</w:t>
            </w:r>
          </w:p>
        </w:tc>
        <w:tc>
          <w:tcPr>
            <w:tcW w:w="1418" w:type="dxa"/>
            <w:vMerge/>
          </w:tcPr>
          <w:p w:rsidR="00B90112" w:rsidRPr="003F34B6" w:rsidRDefault="00B90112" w:rsidP="00B90112">
            <w:pPr>
              <w:spacing w:line="360" w:lineRule="auto"/>
              <w:rPr>
                <w:rFonts w:eastAsia="Calibri"/>
                <w:bCs/>
                <w:sz w:val="16"/>
                <w:szCs w:val="16"/>
                <w:lang w:eastAsia="en-US" w:bidi="ar-SA"/>
              </w:rPr>
            </w:pPr>
          </w:p>
        </w:tc>
      </w:tr>
      <w:tr w:rsidR="00B90112" w:rsidRPr="003F34B6" w:rsidTr="001375CB">
        <w:trPr>
          <w:trHeight w:val="73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1.</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Муниципальное право</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70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40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2.</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Региональное управление</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50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20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3.</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Территориальное планирование</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70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40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4.</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Маркетинг территорий</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60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5.</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Кадастровая оценка земли</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70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40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6.</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Оценка недвижимого имущества</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70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40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56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7.</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Экологические основы природопользования</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60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73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8.</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Земельное право</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50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30</w:t>
            </w: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20</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экзамен</w:t>
            </w:r>
          </w:p>
        </w:tc>
      </w:tr>
      <w:tr w:rsidR="00B90112" w:rsidRPr="003F34B6" w:rsidTr="001375CB">
        <w:trPr>
          <w:trHeight w:val="737"/>
        </w:trPr>
        <w:tc>
          <w:tcPr>
            <w:tcW w:w="567" w:type="dxa"/>
            <w:vAlign w:val="center"/>
          </w:tcPr>
          <w:p w:rsidR="00B90112" w:rsidRPr="003F34B6" w:rsidRDefault="00B90112" w:rsidP="00B90112">
            <w:pPr>
              <w:rPr>
                <w:rFonts w:eastAsia="Calibri"/>
                <w:bCs/>
                <w:sz w:val="16"/>
                <w:szCs w:val="16"/>
                <w:lang w:eastAsia="en-US" w:bidi="ar-SA"/>
              </w:rPr>
            </w:pPr>
            <w:r w:rsidRPr="003F34B6">
              <w:rPr>
                <w:rFonts w:eastAsia="Calibri"/>
                <w:bCs/>
                <w:sz w:val="16"/>
                <w:szCs w:val="16"/>
                <w:lang w:eastAsia="en-US" w:bidi="ar-SA"/>
              </w:rPr>
              <w:t>9.</w:t>
            </w:r>
          </w:p>
        </w:tc>
        <w:tc>
          <w:tcPr>
            <w:tcW w:w="4111"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Итоговый экзамен (тестирование)</w:t>
            </w:r>
          </w:p>
        </w:tc>
        <w:tc>
          <w:tcPr>
            <w:tcW w:w="992"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w:t>
            </w:r>
          </w:p>
        </w:tc>
        <w:tc>
          <w:tcPr>
            <w:tcW w:w="1134" w:type="dxa"/>
            <w:vAlign w:val="center"/>
          </w:tcPr>
          <w:p w:rsidR="00B90112" w:rsidRPr="003F34B6" w:rsidRDefault="00B90112" w:rsidP="00B90112">
            <w:pPr>
              <w:rPr>
                <w:rFonts w:eastAsia="Calibri"/>
                <w:sz w:val="16"/>
                <w:szCs w:val="16"/>
                <w:lang w:eastAsia="en-US" w:bidi="ar-SA"/>
              </w:rPr>
            </w:pPr>
          </w:p>
        </w:tc>
        <w:tc>
          <w:tcPr>
            <w:tcW w:w="1134"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3</w:t>
            </w:r>
          </w:p>
        </w:tc>
        <w:tc>
          <w:tcPr>
            <w:tcW w:w="1418" w:type="dxa"/>
            <w:vAlign w:val="center"/>
          </w:tcPr>
          <w:p w:rsidR="00B90112" w:rsidRPr="003F34B6" w:rsidRDefault="00B90112" w:rsidP="00B90112">
            <w:pPr>
              <w:rPr>
                <w:rFonts w:eastAsia="Calibri"/>
                <w:sz w:val="16"/>
                <w:szCs w:val="16"/>
                <w:lang w:eastAsia="en-US" w:bidi="ar-SA"/>
              </w:rPr>
            </w:pPr>
            <w:r w:rsidRPr="003F34B6">
              <w:rPr>
                <w:rFonts w:eastAsia="Calibri"/>
                <w:sz w:val="16"/>
                <w:szCs w:val="16"/>
                <w:lang w:eastAsia="en-US" w:bidi="ar-SA"/>
              </w:rPr>
              <w:t>комиссия</w:t>
            </w:r>
          </w:p>
        </w:tc>
      </w:tr>
      <w:tr w:rsidR="00B90112" w:rsidRPr="003F34B6" w:rsidTr="001375CB">
        <w:trPr>
          <w:trHeight w:hRule="exact" w:val="454"/>
        </w:trPr>
        <w:tc>
          <w:tcPr>
            <w:tcW w:w="4678" w:type="dxa"/>
            <w:gridSpan w:val="2"/>
            <w:vAlign w:val="center"/>
          </w:tcPr>
          <w:p w:rsidR="00B90112" w:rsidRPr="003F34B6" w:rsidRDefault="00B90112" w:rsidP="00B90112">
            <w:pPr>
              <w:jc w:val="right"/>
              <w:rPr>
                <w:rFonts w:eastAsia="Calibri"/>
                <w:b/>
                <w:bCs/>
                <w:i/>
                <w:sz w:val="16"/>
                <w:szCs w:val="16"/>
                <w:lang w:eastAsia="en-US" w:bidi="ar-SA"/>
              </w:rPr>
            </w:pPr>
            <w:r w:rsidRPr="003F34B6">
              <w:rPr>
                <w:rFonts w:eastAsia="Calibri"/>
                <w:b/>
                <w:bCs/>
                <w:i/>
                <w:sz w:val="16"/>
                <w:szCs w:val="16"/>
                <w:lang w:eastAsia="en-US" w:bidi="ar-SA"/>
              </w:rPr>
              <w:t>ИТОГО</w:t>
            </w:r>
            <w:r w:rsidRPr="003F34B6">
              <w:rPr>
                <w:rFonts w:eastAsia="Calibri"/>
                <w:b/>
                <w:bCs/>
                <w:i/>
                <w:sz w:val="16"/>
                <w:szCs w:val="16"/>
                <w:lang w:eastAsia="en-US" w:bidi="ar-SA"/>
              </w:rPr>
              <w:fldChar w:fldCharType="begin"/>
            </w:r>
            <w:r w:rsidRPr="003F34B6">
              <w:rPr>
                <w:rFonts w:eastAsia="Calibri"/>
                <w:b/>
                <w:bCs/>
                <w:i/>
                <w:sz w:val="16"/>
                <w:szCs w:val="16"/>
                <w:lang w:eastAsia="en-US" w:bidi="ar-SA"/>
              </w:rPr>
              <w:instrText xml:space="preserve"> =SUM(ABOVE) </w:instrText>
            </w:r>
            <w:r w:rsidRPr="003F34B6">
              <w:rPr>
                <w:rFonts w:eastAsia="Calibri"/>
                <w:b/>
                <w:bCs/>
                <w:i/>
                <w:sz w:val="16"/>
                <w:szCs w:val="16"/>
                <w:lang w:eastAsia="en-US" w:bidi="ar-SA"/>
              </w:rPr>
              <w:fldChar w:fldCharType="end"/>
            </w:r>
          </w:p>
        </w:tc>
        <w:tc>
          <w:tcPr>
            <w:tcW w:w="992" w:type="dxa"/>
            <w:vAlign w:val="center"/>
          </w:tcPr>
          <w:p w:rsidR="00B90112" w:rsidRPr="003F34B6" w:rsidRDefault="00B90112" w:rsidP="00B90112">
            <w:pPr>
              <w:rPr>
                <w:rFonts w:eastAsia="Calibri"/>
                <w:b/>
                <w:bCs/>
                <w:i/>
                <w:sz w:val="16"/>
                <w:szCs w:val="16"/>
                <w:lang w:eastAsia="en-US" w:bidi="ar-SA"/>
              </w:rPr>
            </w:pPr>
            <w:r w:rsidRPr="003F34B6">
              <w:rPr>
                <w:rFonts w:eastAsia="Calibri"/>
                <w:b/>
                <w:bCs/>
                <w:i/>
                <w:sz w:val="16"/>
                <w:szCs w:val="16"/>
                <w:lang w:eastAsia="en-US" w:bidi="ar-SA"/>
              </w:rPr>
              <w:fldChar w:fldCharType="begin"/>
            </w:r>
            <w:r w:rsidRPr="003F34B6">
              <w:rPr>
                <w:rFonts w:eastAsia="Calibri"/>
                <w:b/>
                <w:bCs/>
                <w:i/>
                <w:sz w:val="16"/>
                <w:szCs w:val="16"/>
                <w:lang w:eastAsia="en-US" w:bidi="ar-SA"/>
              </w:rPr>
              <w:instrText xml:space="preserve"> =SUM(ABOVE) </w:instrText>
            </w:r>
            <w:r w:rsidRPr="003F34B6">
              <w:rPr>
                <w:rFonts w:eastAsia="Calibri"/>
                <w:b/>
                <w:bCs/>
                <w:i/>
                <w:sz w:val="16"/>
                <w:szCs w:val="16"/>
                <w:lang w:eastAsia="en-US" w:bidi="ar-SA"/>
              </w:rPr>
              <w:fldChar w:fldCharType="end"/>
            </w:r>
            <w:r w:rsidRPr="003F34B6">
              <w:rPr>
                <w:rFonts w:eastAsia="Calibri"/>
                <w:b/>
                <w:bCs/>
                <w:i/>
                <w:sz w:val="16"/>
                <w:szCs w:val="16"/>
                <w:lang w:eastAsia="en-US" w:bidi="ar-SA"/>
              </w:rPr>
              <w:t>503</w:t>
            </w:r>
          </w:p>
        </w:tc>
        <w:tc>
          <w:tcPr>
            <w:tcW w:w="1134" w:type="dxa"/>
            <w:vAlign w:val="center"/>
          </w:tcPr>
          <w:p w:rsidR="00B90112" w:rsidRPr="003F34B6" w:rsidRDefault="00B90112" w:rsidP="00B90112">
            <w:pPr>
              <w:rPr>
                <w:rFonts w:eastAsia="Calibri"/>
                <w:b/>
                <w:bCs/>
                <w:i/>
                <w:sz w:val="16"/>
                <w:szCs w:val="16"/>
                <w:lang w:eastAsia="en-US" w:bidi="ar-SA"/>
              </w:rPr>
            </w:pPr>
            <w:r w:rsidRPr="003F34B6">
              <w:rPr>
                <w:rFonts w:eastAsia="Calibri"/>
                <w:b/>
                <w:bCs/>
                <w:i/>
                <w:sz w:val="16"/>
                <w:szCs w:val="16"/>
                <w:lang w:eastAsia="en-US" w:bidi="ar-SA"/>
              </w:rPr>
              <w:t>280</w:t>
            </w:r>
          </w:p>
        </w:tc>
        <w:tc>
          <w:tcPr>
            <w:tcW w:w="1134" w:type="dxa"/>
            <w:vAlign w:val="center"/>
          </w:tcPr>
          <w:p w:rsidR="00B90112" w:rsidRPr="003F34B6" w:rsidRDefault="00B90112" w:rsidP="00B90112">
            <w:pPr>
              <w:rPr>
                <w:rFonts w:eastAsia="Calibri"/>
                <w:b/>
                <w:bCs/>
                <w:i/>
                <w:sz w:val="16"/>
                <w:szCs w:val="16"/>
                <w:lang w:eastAsia="en-US" w:bidi="ar-SA"/>
              </w:rPr>
            </w:pPr>
            <w:r w:rsidRPr="003F34B6">
              <w:rPr>
                <w:rFonts w:eastAsia="Calibri"/>
                <w:b/>
                <w:bCs/>
                <w:i/>
                <w:sz w:val="16"/>
                <w:szCs w:val="16"/>
                <w:lang w:eastAsia="en-US" w:bidi="ar-SA"/>
              </w:rPr>
              <w:t>223</w:t>
            </w:r>
          </w:p>
        </w:tc>
        <w:tc>
          <w:tcPr>
            <w:tcW w:w="1418" w:type="dxa"/>
            <w:vAlign w:val="center"/>
          </w:tcPr>
          <w:p w:rsidR="00B90112" w:rsidRPr="003F34B6" w:rsidRDefault="00B90112" w:rsidP="00B90112">
            <w:pPr>
              <w:rPr>
                <w:rFonts w:eastAsia="Calibri"/>
                <w:b/>
                <w:bCs/>
                <w:i/>
                <w:sz w:val="16"/>
                <w:szCs w:val="16"/>
                <w:lang w:eastAsia="en-US"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4658FA">
        <w:rPr>
          <w:b/>
          <w:sz w:val="20"/>
        </w:rPr>
        <w:t>23 000 (Двадцать три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4658FA">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4658FA">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4658FA">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658FA">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658FA">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4658FA">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658FA">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4658FA">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3F34B6"/>
    <w:rsid w:val="00402F9C"/>
    <w:rsid w:val="004658FA"/>
    <w:rsid w:val="005047CF"/>
    <w:rsid w:val="005C542A"/>
    <w:rsid w:val="00764087"/>
    <w:rsid w:val="00B90112"/>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9A0CF5-7888-4B70-8855-092D7645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 w:type="table" w:customStyle="1" w:styleId="1">
    <w:name w:val="Сетка таблицы1"/>
    <w:basedOn w:val="a1"/>
    <w:next w:val="a5"/>
    <w:uiPriority w:val="59"/>
    <w:rsid w:val="00B90112"/>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B9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