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253CBC">
        <w:rPr>
          <w:b/>
          <w:sz w:val="20"/>
        </w:rPr>
        <w:t>Психологическое консультирование</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886F82">
        <w:rPr>
          <w:sz w:val="20"/>
        </w:rPr>
        <w:t>524 часа</w:t>
      </w:r>
      <w:r>
        <w:rPr>
          <w:sz w:val="20"/>
        </w:rPr>
        <w:t>, срок освоения образовательной программы (продолжительность обучения) -</w:t>
      </w:r>
      <w:r w:rsidR="00886F82">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253CBC" w:rsidRPr="00253CBC" w:rsidTr="002C546F">
        <w:trPr>
          <w:trHeight w:val="627"/>
        </w:trPr>
        <w:tc>
          <w:tcPr>
            <w:tcW w:w="567" w:type="dxa"/>
            <w:vMerge w:val="restart"/>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w:t>
            </w:r>
          </w:p>
          <w:p w:rsidR="00253CBC" w:rsidRPr="00253CBC" w:rsidRDefault="00253CBC" w:rsidP="002C546F">
            <w:pPr>
              <w:jc w:val="center"/>
              <w:rPr>
                <w:rFonts w:ascii="Arial" w:hAnsi="Arial" w:cs="Arial"/>
                <w:sz w:val="20"/>
                <w:szCs w:val="20"/>
              </w:rPr>
            </w:pPr>
            <w:r w:rsidRPr="00253CBC">
              <w:rPr>
                <w:rFonts w:ascii="Arial" w:hAnsi="Arial" w:cs="Arial"/>
                <w:sz w:val="20"/>
                <w:szCs w:val="20"/>
              </w:rPr>
              <w:t>п/п</w:t>
            </w:r>
          </w:p>
        </w:tc>
        <w:tc>
          <w:tcPr>
            <w:tcW w:w="4253" w:type="dxa"/>
            <w:vMerge w:val="restart"/>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Наименование разделов и тем</w:t>
            </w:r>
          </w:p>
        </w:tc>
        <w:tc>
          <w:tcPr>
            <w:tcW w:w="992" w:type="dxa"/>
            <w:vMerge w:val="restart"/>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Всего, час</w:t>
            </w:r>
          </w:p>
        </w:tc>
        <w:tc>
          <w:tcPr>
            <w:tcW w:w="2268" w:type="dxa"/>
            <w:gridSpan w:val="2"/>
            <w:vAlign w:val="center"/>
          </w:tcPr>
          <w:p w:rsidR="00253CBC" w:rsidRPr="00253CBC" w:rsidRDefault="00253CBC" w:rsidP="002C546F">
            <w:pPr>
              <w:jc w:val="center"/>
              <w:rPr>
                <w:rFonts w:ascii="Arial" w:hAnsi="Arial" w:cs="Arial"/>
                <w:sz w:val="20"/>
                <w:szCs w:val="20"/>
              </w:rPr>
            </w:pPr>
            <w:r w:rsidRPr="00253CBC">
              <w:rPr>
                <w:rFonts w:ascii="Arial" w:hAnsi="Arial" w:cs="Arial"/>
                <w:bCs/>
                <w:sz w:val="20"/>
                <w:szCs w:val="20"/>
                <w:lang w:val="en-US"/>
              </w:rPr>
              <w:t xml:space="preserve">В </w:t>
            </w:r>
            <w:r w:rsidRPr="00253CBC">
              <w:rPr>
                <w:rFonts w:ascii="Arial" w:hAnsi="Arial" w:cs="Arial"/>
                <w:bCs/>
                <w:sz w:val="20"/>
                <w:szCs w:val="20"/>
              </w:rPr>
              <w:t>том числе</w:t>
            </w:r>
          </w:p>
        </w:tc>
        <w:tc>
          <w:tcPr>
            <w:tcW w:w="1560" w:type="dxa"/>
            <w:vMerge w:val="restart"/>
            <w:vAlign w:val="center"/>
          </w:tcPr>
          <w:p w:rsidR="00253CBC" w:rsidRPr="00253CBC" w:rsidRDefault="00253CBC" w:rsidP="002C546F">
            <w:pPr>
              <w:jc w:val="center"/>
              <w:rPr>
                <w:sz w:val="20"/>
                <w:szCs w:val="20"/>
              </w:rPr>
            </w:pPr>
            <w:r w:rsidRPr="00253CBC">
              <w:rPr>
                <w:sz w:val="20"/>
                <w:szCs w:val="20"/>
              </w:rPr>
              <w:t>Форма контроля</w:t>
            </w:r>
          </w:p>
        </w:tc>
      </w:tr>
      <w:tr w:rsidR="00253CBC" w:rsidRPr="00253CBC" w:rsidTr="002C546F">
        <w:trPr>
          <w:trHeight w:hRule="exact" w:val="626"/>
        </w:trPr>
        <w:tc>
          <w:tcPr>
            <w:tcW w:w="567" w:type="dxa"/>
            <w:vMerge/>
            <w:vAlign w:val="center"/>
          </w:tcPr>
          <w:p w:rsidR="00253CBC" w:rsidRPr="00253CBC" w:rsidRDefault="00253CBC" w:rsidP="002C546F">
            <w:pPr>
              <w:jc w:val="center"/>
              <w:rPr>
                <w:sz w:val="20"/>
                <w:szCs w:val="20"/>
              </w:rPr>
            </w:pPr>
          </w:p>
        </w:tc>
        <w:tc>
          <w:tcPr>
            <w:tcW w:w="4253" w:type="dxa"/>
            <w:vMerge/>
            <w:vAlign w:val="center"/>
          </w:tcPr>
          <w:p w:rsidR="00253CBC" w:rsidRPr="00253CBC" w:rsidRDefault="00253CBC" w:rsidP="002C546F">
            <w:pPr>
              <w:jc w:val="center"/>
              <w:rPr>
                <w:sz w:val="20"/>
                <w:szCs w:val="20"/>
              </w:rPr>
            </w:pPr>
          </w:p>
        </w:tc>
        <w:tc>
          <w:tcPr>
            <w:tcW w:w="992" w:type="dxa"/>
            <w:vMerge/>
            <w:vAlign w:val="center"/>
          </w:tcPr>
          <w:p w:rsidR="00253CBC" w:rsidRPr="00253CBC" w:rsidRDefault="00253CBC" w:rsidP="002C546F">
            <w:pPr>
              <w:jc w:val="center"/>
              <w:rPr>
                <w:sz w:val="20"/>
                <w:szCs w:val="20"/>
              </w:rPr>
            </w:pP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Лекции</w:t>
            </w:r>
          </w:p>
        </w:tc>
        <w:tc>
          <w:tcPr>
            <w:tcW w:w="1134" w:type="dxa"/>
            <w:vAlign w:val="center"/>
          </w:tcPr>
          <w:p w:rsidR="00253CBC" w:rsidRPr="00253CBC" w:rsidRDefault="00253CBC" w:rsidP="002C546F">
            <w:pPr>
              <w:jc w:val="center"/>
              <w:rPr>
                <w:rFonts w:ascii="Arial" w:hAnsi="Arial" w:cs="Arial"/>
                <w:sz w:val="20"/>
                <w:szCs w:val="20"/>
              </w:rPr>
            </w:pPr>
            <w:proofErr w:type="spellStart"/>
            <w:r w:rsidRPr="00253CBC">
              <w:rPr>
                <w:rFonts w:ascii="Arial" w:hAnsi="Arial" w:cs="Arial"/>
                <w:bCs/>
                <w:sz w:val="20"/>
                <w:szCs w:val="20"/>
              </w:rPr>
              <w:t>Практ</w:t>
            </w:r>
            <w:proofErr w:type="spellEnd"/>
            <w:r w:rsidRPr="00253CBC">
              <w:rPr>
                <w:rFonts w:ascii="Arial" w:hAnsi="Arial" w:cs="Arial"/>
                <w:bCs/>
                <w:sz w:val="20"/>
                <w:szCs w:val="20"/>
              </w:rPr>
              <w:t>. занятия</w:t>
            </w:r>
          </w:p>
        </w:tc>
        <w:tc>
          <w:tcPr>
            <w:tcW w:w="1560" w:type="dxa"/>
            <w:vMerge/>
            <w:vAlign w:val="center"/>
          </w:tcPr>
          <w:p w:rsidR="00253CBC" w:rsidRPr="00253CBC" w:rsidRDefault="00253CBC" w:rsidP="002C546F">
            <w:pPr>
              <w:jc w:val="center"/>
              <w:rPr>
                <w:sz w:val="20"/>
                <w:szCs w:val="20"/>
              </w:rPr>
            </w:pP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Общая психология</w:t>
            </w:r>
          </w:p>
        </w:tc>
        <w:tc>
          <w:tcPr>
            <w:tcW w:w="992"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397"/>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2.</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Психология развития и возрастная психология</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397"/>
        </w:trPr>
        <w:tc>
          <w:tcPr>
            <w:tcW w:w="567" w:type="dxa"/>
            <w:tcBorders>
              <w:bottom w:val="nil"/>
            </w:tcBorders>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3.</w:t>
            </w:r>
          </w:p>
        </w:tc>
        <w:tc>
          <w:tcPr>
            <w:tcW w:w="4253" w:type="dxa"/>
            <w:tcBorders>
              <w:bottom w:val="nil"/>
            </w:tcBorders>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Психология личности</w:t>
            </w:r>
          </w:p>
        </w:tc>
        <w:tc>
          <w:tcPr>
            <w:tcW w:w="992" w:type="dxa"/>
            <w:tcBorders>
              <w:bottom w:val="nil"/>
            </w:tcBorders>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tcBorders>
              <w:bottom w:val="nil"/>
            </w:tcBorders>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tcBorders>
              <w:bottom w:val="nil"/>
            </w:tcBorders>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tcBorders>
              <w:bottom w:val="nil"/>
            </w:tcBorders>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экзамен</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4.</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Дифференциальная психология</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экзамен</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5.</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Основы консультативной психологии</w:t>
            </w:r>
          </w:p>
        </w:tc>
        <w:tc>
          <w:tcPr>
            <w:tcW w:w="992"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70</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46</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24</w:t>
            </w:r>
          </w:p>
        </w:tc>
        <w:tc>
          <w:tcPr>
            <w:tcW w:w="1560" w:type="dxa"/>
            <w:vAlign w:val="center"/>
          </w:tcPr>
          <w:p w:rsidR="00253CBC" w:rsidRPr="00253CBC" w:rsidRDefault="00253CBC" w:rsidP="002C546F">
            <w:pPr>
              <w:jc w:val="center"/>
              <w:rPr>
                <w:sz w:val="20"/>
                <w:szCs w:val="20"/>
              </w:rPr>
            </w:pPr>
            <w:r w:rsidRPr="00253CBC">
              <w:rPr>
                <w:rFonts w:ascii="Arial" w:hAnsi="Arial" w:cs="Arial"/>
                <w:sz w:val="20"/>
                <w:szCs w:val="20"/>
              </w:rPr>
              <w:t>экзамен</w:t>
            </w:r>
          </w:p>
        </w:tc>
      </w:tr>
      <w:tr w:rsidR="00253CBC" w:rsidRPr="00253CBC" w:rsidTr="002C546F">
        <w:trPr>
          <w:trHeight w:val="397"/>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6.</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Современные подходы и методы психологического консультирования</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sz w:val="20"/>
                <w:szCs w:val="20"/>
              </w:rPr>
            </w:pPr>
            <w:r w:rsidRPr="00253CBC">
              <w:rPr>
                <w:rFonts w:ascii="Arial" w:hAnsi="Arial" w:cs="Arial"/>
                <w:sz w:val="20"/>
                <w:szCs w:val="20"/>
              </w:rPr>
              <w:t>экзамен</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7.</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Психодиагностика</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8.</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Дистанционное психологическое консультирование</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9.</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Психология семьи и семейное консультирование</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10.</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Психология бизнес-консультирования</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11.</w:t>
            </w:r>
          </w:p>
        </w:tc>
        <w:tc>
          <w:tcPr>
            <w:tcW w:w="4253" w:type="dxa"/>
            <w:vAlign w:val="center"/>
          </w:tcPr>
          <w:p w:rsidR="00253CBC" w:rsidRPr="00253CBC" w:rsidRDefault="00253CBC" w:rsidP="002C546F">
            <w:pPr>
              <w:rPr>
                <w:rFonts w:ascii="Arial" w:hAnsi="Arial" w:cs="Arial"/>
                <w:sz w:val="20"/>
                <w:szCs w:val="20"/>
              </w:rPr>
            </w:pPr>
            <w:proofErr w:type="spellStart"/>
            <w:r w:rsidRPr="00253CBC">
              <w:rPr>
                <w:rFonts w:ascii="Arial" w:hAnsi="Arial" w:cs="Arial"/>
                <w:sz w:val="20"/>
                <w:szCs w:val="20"/>
              </w:rPr>
              <w:t>Акмеология</w:t>
            </w:r>
            <w:proofErr w:type="spellEnd"/>
            <w:r w:rsidRPr="00253CBC">
              <w:rPr>
                <w:rFonts w:ascii="Arial" w:hAnsi="Arial" w:cs="Arial"/>
                <w:sz w:val="20"/>
                <w:szCs w:val="20"/>
              </w:rPr>
              <w:t xml:space="preserve"> и </w:t>
            </w:r>
            <w:proofErr w:type="spellStart"/>
            <w:r w:rsidRPr="00253CBC">
              <w:rPr>
                <w:rFonts w:ascii="Arial" w:hAnsi="Arial" w:cs="Arial"/>
                <w:sz w:val="20"/>
                <w:szCs w:val="20"/>
              </w:rPr>
              <w:t>акмеологическое</w:t>
            </w:r>
            <w:proofErr w:type="spellEnd"/>
            <w:r w:rsidRPr="00253CBC">
              <w:rPr>
                <w:rFonts w:ascii="Arial" w:hAnsi="Arial" w:cs="Arial"/>
                <w:sz w:val="20"/>
                <w:szCs w:val="20"/>
              </w:rPr>
              <w:t xml:space="preserve"> консультирование</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Профессиональная этика</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зачет</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13.</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Теория и практика ведения группового консультирования</w:t>
            </w:r>
          </w:p>
        </w:tc>
        <w:tc>
          <w:tcPr>
            <w:tcW w:w="992" w:type="dxa"/>
            <w:vAlign w:val="center"/>
          </w:tcPr>
          <w:p w:rsidR="00253CBC" w:rsidRPr="00253CBC" w:rsidRDefault="00253CBC" w:rsidP="002C546F">
            <w:pPr>
              <w:jc w:val="center"/>
              <w:rPr>
                <w:sz w:val="20"/>
                <w:szCs w:val="20"/>
              </w:rPr>
            </w:pPr>
            <w:r w:rsidRPr="00253CBC">
              <w:rPr>
                <w:rFonts w:ascii="Arial" w:hAnsi="Arial" w:cs="Arial"/>
                <w:sz w:val="20"/>
                <w:szCs w:val="20"/>
              </w:rPr>
              <w:t>37</w:t>
            </w: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25</w:t>
            </w:r>
          </w:p>
        </w:tc>
        <w:tc>
          <w:tcPr>
            <w:tcW w:w="1134"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12</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экзамен</w:t>
            </w:r>
          </w:p>
        </w:tc>
      </w:tr>
      <w:tr w:rsidR="00253CBC" w:rsidRPr="00253CBC" w:rsidTr="002C546F">
        <w:trPr>
          <w:trHeight w:val="510"/>
        </w:trPr>
        <w:tc>
          <w:tcPr>
            <w:tcW w:w="567"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14.</w:t>
            </w:r>
          </w:p>
        </w:tc>
        <w:tc>
          <w:tcPr>
            <w:tcW w:w="4253" w:type="dxa"/>
            <w:vAlign w:val="center"/>
          </w:tcPr>
          <w:p w:rsidR="00253CBC" w:rsidRPr="00253CBC" w:rsidRDefault="00253CBC" w:rsidP="002C546F">
            <w:pPr>
              <w:rPr>
                <w:rFonts w:ascii="Arial" w:hAnsi="Arial" w:cs="Arial"/>
                <w:sz w:val="20"/>
                <w:szCs w:val="20"/>
              </w:rPr>
            </w:pPr>
            <w:r w:rsidRPr="00253CBC">
              <w:rPr>
                <w:rFonts w:ascii="Arial" w:hAnsi="Arial" w:cs="Arial"/>
                <w:sz w:val="20"/>
                <w:szCs w:val="20"/>
              </w:rPr>
              <w:t>Выпускная аттестационная работа</w:t>
            </w:r>
          </w:p>
        </w:tc>
        <w:tc>
          <w:tcPr>
            <w:tcW w:w="992"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10</w:t>
            </w:r>
          </w:p>
        </w:tc>
        <w:tc>
          <w:tcPr>
            <w:tcW w:w="1134" w:type="dxa"/>
            <w:vAlign w:val="center"/>
          </w:tcPr>
          <w:p w:rsidR="00253CBC" w:rsidRPr="00253CBC" w:rsidRDefault="00253CBC" w:rsidP="002C546F">
            <w:pPr>
              <w:jc w:val="center"/>
              <w:rPr>
                <w:rFonts w:ascii="Arial" w:hAnsi="Arial" w:cs="Arial"/>
                <w:bCs/>
                <w:sz w:val="20"/>
                <w:szCs w:val="20"/>
              </w:rPr>
            </w:pPr>
          </w:p>
        </w:tc>
        <w:tc>
          <w:tcPr>
            <w:tcW w:w="1134" w:type="dxa"/>
            <w:vAlign w:val="center"/>
          </w:tcPr>
          <w:p w:rsidR="00253CBC" w:rsidRPr="00253CBC" w:rsidRDefault="00253CBC" w:rsidP="002C546F">
            <w:pPr>
              <w:jc w:val="center"/>
              <w:rPr>
                <w:rFonts w:ascii="Arial" w:hAnsi="Arial" w:cs="Arial"/>
                <w:bCs/>
                <w:sz w:val="20"/>
                <w:szCs w:val="20"/>
              </w:rPr>
            </w:pPr>
            <w:r w:rsidRPr="00253CBC">
              <w:rPr>
                <w:rFonts w:ascii="Arial" w:hAnsi="Arial" w:cs="Arial"/>
                <w:bCs/>
                <w:sz w:val="20"/>
                <w:szCs w:val="20"/>
              </w:rPr>
              <w:t>10</w:t>
            </w:r>
          </w:p>
        </w:tc>
        <w:tc>
          <w:tcPr>
            <w:tcW w:w="1560" w:type="dxa"/>
            <w:vAlign w:val="center"/>
          </w:tcPr>
          <w:p w:rsidR="00253CBC" w:rsidRPr="00253CBC" w:rsidRDefault="00253CBC" w:rsidP="002C546F">
            <w:pPr>
              <w:jc w:val="center"/>
              <w:rPr>
                <w:rFonts w:ascii="Arial" w:hAnsi="Arial" w:cs="Arial"/>
                <w:sz w:val="20"/>
                <w:szCs w:val="20"/>
              </w:rPr>
            </w:pPr>
            <w:r w:rsidRPr="00253CBC">
              <w:rPr>
                <w:rFonts w:ascii="Arial" w:hAnsi="Arial" w:cs="Arial"/>
                <w:sz w:val="20"/>
                <w:szCs w:val="20"/>
              </w:rPr>
              <w:t>комиссия</w:t>
            </w:r>
          </w:p>
        </w:tc>
      </w:tr>
      <w:tr w:rsidR="00253CBC" w:rsidRPr="00253CBC" w:rsidTr="002C546F">
        <w:trPr>
          <w:trHeight w:val="340"/>
        </w:trPr>
        <w:tc>
          <w:tcPr>
            <w:tcW w:w="4820" w:type="dxa"/>
            <w:gridSpan w:val="2"/>
            <w:vAlign w:val="center"/>
          </w:tcPr>
          <w:p w:rsidR="00253CBC" w:rsidRPr="00253CBC" w:rsidRDefault="00253CBC" w:rsidP="002C546F">
            <w:pPr>
              <w:jc w:val="right"/>
              <w:rPr>
                <w:rFonts w:ascii="Arial" w:hAnsi="Arial" w:cs="Arial"/>
                <w:b/>
                <w:bCs/>
                <w:i/>
                <w:sz w:val="20"/>
                <w:szCs w:val="20"/>
              </w:rPr>
            </w:pPr>
            <w:r w:rsidRPr="00253CBC">
              <w:rPr>
                <w:rFonts w:ascii="Arial" w:hAnsi="Arial" w:cs="Arial"/>
                <w:b/>
                <w:bCs/>
                <w:i/>
                <w:sz w:val="20"/>
                <w:szCs w:val="20"/>
              </w:rPr>
              <w:t>ИТОГО</w:t>
            </w:r>
          </w:p>
        </w:tc>
        <w:tc>
          <w:tcPr>
            <w:tcW w:w="992" w:type="dxa"/>
            <w:vAlign w:val="center"/>
          </w:tcPr>
          <w:p w:rsidR="00253CBC" w:rsidRPr="00253CBC" w:rsidRDefault="00253CBC" w:rsidP="002C546F">
            <w:pPr>
              <w:jc w:val="center"/>
              <w:rPr>
                <w:rFonts w:ascii="Arial" w:hAnsi="Arial" w:cs="Arial"/>
                <w:b/>
                <w:bCs/>
                <w:i/>
                <w:sz w:val="20"/>
                <w:szCs w:val="20"/>
              </w:rPr>
            </w:pPr>
            <w:r w:rsidRPr="00253CBC">
              <w:rPr>
                <w:rFonts w:ascii="Arial" w:hAnsi="Arial" w:cs="Arial"/>
                <w:b/>
                <w:bCs/>
                <w:i/>
                <w:sz w:val="20"/>
                <w:szCs w:val="20"/>
              </w:rPr>
              <w:fldChar w:fldCharType="begin"/>
            </w:r>
            <w:r w:rsidRPr="00253CBC">
              <w:rPr>
                <w:rFonts w:ascii="Arial" w:hAnsi="Arial" w:cs="Arial"/>
                <w:b/>
                <w:bCs/>
                <w:i/>
                <w:sz w:val="20"/>
                <w:szCs w:val="20"/>
              </w:rPr>
              <w:instrText xml:space="preserve"> =SUM(ABOVE) </w:instrText>
            </w:r>
            <w:r w:rsidRPr="00253CBC">
              <w:rPr>
                <w:rFonts w:ascii="Arial" w:hAnsi="Arial" w:cs="Arial"/>
                <w:b/>
                <w:bCs/>
                <w:i/>
                <w:sz w:val="20"/>
                <w:szCs w:val="20"/>
              </w:rPr>
              <w:fldChar w:fldCharType="end"/>
            </w:r>
            <w:r w:rsidRPr="00253CBC">
              <w:rPr>
                <w:rFonts w:ascii="Arial" w:hAnsi="Arial" w:cs="Arial"/>
                <w:b/>
                <w:bCs/>
                <w:i/>
                <w:sz w:val="20"/>
                <w:szCs w:val="20"/>
              </w:rPr>
              <w:t>524</w:t>
            </w:r>
          </w:p>
        </w:tc>
        <w:tc>
          <w:tcPr>
            <w:tcW w:w="1134" w:type="dxa"/>
            <w:vAlign w:val="center"/>
          </w:tcPr>
          <w:p w:rsidR="00253CBC" w:rsidRPr="00253CBC" w:rsidRDefault="00253CBC" w:rsidP="002C546F">
            <w:pPr>
              <w:jc w:val="center"/>
              <w:rPr>
                <w:rFonts w:ascii="Arial" w:hAnsi="Arial" w:cs="Arial"/>
                <w:b/>
                <w:bCs/>
                <w:i/>
                <w:sz w:val="20"/>
                <w:szCs w:val="20"/>
              </w:rPr>
            </w:pPr>
            <w:r w:rsidRPr="00253CBC">
              <w:rPr>
                <w:rFonts w:ascii="Arial" w:hAnsi="Arial" w:cs="Arial"/>
                <w:b/>
                <w:bCs/>
                <w:i/>
                <w:sz w:val="20"/>
                <w:szCs w:val="20"/>
              </w:rPr>
              <w:t>346</w:t>
            </w:r>
          </w:p>
        </w:tc>
        <w:tc>
          <w:tcPr>
            <w:tcW w:w="1134" w:type="dxa"/>
            <w:vAlign w:val="center"/>
          </w:tcPr>
          <w:p w:rsidR="00253CBC" w:rsidRPr="00253CBC" w:rsidRDefault="00253CBC" w:rsidP="002C546F">
            <w:pPr>
              <w:jc w:val="center"/>
              <w:rPr>
                <w:rFonts w:ascii="Arial" w:hAnsi="Arial" w:cs="Arial"/>
                <w:b/>
                <w:bCs/>
                <w:i/>
                <w:sz w:val="20"/>
                <w:szCs w:val="20"/>
              </w:rPr>
            </w:pPr>
            <w:r w:rsidRPr="00253CBC">
              <w:rPr>
                <w:rFonts w:ascii="Arial" w:hAnsi="Arial" w:cs="Arial"/>
                <w:b/>
                <w:bCs/>
                <w:i/>
                <w:sz w:val="20"/>
                <w:szCs w:val="20"/>
              </w:rPr>
              <w:t>168</w:t>
            </w:r>
          </w:p>
        </w:tc>
        <w:tc>
          <w:tcPr>
            <w:tcW w:w="1560" w:type="dxa"/>
            <w:vAlign w:val="center"/>
          </w:tcPr>
          <w:p w:rsidR="00253CBC" w:rsidRPr="00253CBC" w:rsidRDefault="00253CBC" w:rsidP="002C546F">
            <w:pPr>
              <w:jc w:val="center"/>
              <w:rPr>
                <w:rFonts w:ascii="Arial" w:hAnsi="Arial" w:cs="Arial"/>
                <w:b/>
                <w:bCs/>
                <w:i/>
                <w:sz w:val="20"/>
                <w:szCs w:val="20"/>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886F82">
        <w:rPr>
          <w:b/>
          <w:sz w:val="20"/>
        </w:rPr>
        <w:t>21 000 (Двадцать одна тысяча)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886F82">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886F82">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886F82">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86F82">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86F82">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886F82">
                  <w:rPr>
                    <w:noProof/>
                    <w:w w:val="99"/>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86F82">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886F82">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C542A"/>
    <w:rsid w:val="00764087"/>
    <w:rsid w:val="00886F82"/>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0396CA-19F2-4989-A016-561A9090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7</cp:revision>
  <dcterms:created xsi:type="dcterms:W3CDTF">2020-03-24T09:59:00Z</dcterms:created>
  <dcterms:modified xsi:type="dcterms:W3CDTF">2020-07-06T08:38:00Z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