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proofErr w:type="gramStart"/>
      <w:r>
        <w:tab/>
      </w:r>
      <w:r w:rsidR="00E31367">
        <w:t>«</w:t>
      </w:r>
      <w:proofErr w:type="gramEnd"/>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proofErr w:type="spellStart"/>
      <w:r w:rsidR="00E31367">
        <w:t>Восточно</w:t>
      </w:r>
      <w:proofErr w:type="spellEnd"/>
      <w:r w:rsidR="00E31367">
        <w:t xml:space="preserve">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proofErr w:type="spellStart"/>
      <w:r w:rsidR="00D07D22">
        <w:t>Ларикова</w:t>
      </w:r>
      <w:proofErr w:type="spellEnd"/>
      <w:r w:rsidR="00D07D22">
        <w:t xml:space="preserve">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w:t>
      </w:r>
      <w:proofErr w:type="spellStart"/>
      <w:r>
        <w:t>ая</w:t>
      </w:r>
      <w:proofErr w:type="spellEnd"/>
      <w:r>
        <w:t>)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D01943">
        <w:rPr>
          <w:b/>
          <w:sz w:val="20"/>
        </w:rPr>
        <w:t>«Оценка стоимости предприятия (бизнеса)»</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1E5113">
        <w:rPr>
          <w:sz w:val="20"/>
        </w:rPr>
        <w:t>810</w:t>
      </w:r>
      <w:r w:rsidR="00D07D22">
        <w:rPr>
          <w:sz w:val="20"/>
        </w:rPr>
        <w:t xml:space="preserve"> часов</w:t>
      </w:r>
      <w:r>
        <w:rPr>
          <w:sz w:val="20"/>
        </w:rPr>
        <w:t>, срок освоения образовательной программы (продолжительность обучения) -</w:t>
      </w:r>
      <w:r w:rsidR="001E5113">
        <w:rPr>
          <w:sz w:val="20"/>
        </w:rPr>
        <w:t xml:space="preserve"> 6</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 xml:space="preserve">Требовать от Обучающегося выполнения обязанностей согласно </w:t>
      </w:r>
      <w:proofErr w:type="spellStart"/>
      <w:r>
        <w:rPr>
          <w:sz w:val="20"/>
        </w:rPr>
        <w:t>п.п</w:t>
      </w:r>
      <w:proofErr w:type="spellEnd"/>
      <w:r>
        <w:rPr>
          <w:sz w:val="20"/>
        </w:rPr>
        <w:t>.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Style w:val="1"/>
        <w:tblW w:w="9356" w:type="dxa"/>
        <w:tblInd w:w="108" w:type="dxa"/>
        <w:tblLayout w:type="fixed"/>
        <w:tblLook w:val="0000" w:firstRow="0" w:lastRow="0" w:firstColumn="0" w:lastColumn="0" w:noHBand="0" w:noVBand="0"/>
      </w:tblPr>
      <w:tblGrid>
        <w:gridCol w:w="567"/>
        <w:gridCol w:w="4111"/>
        <w:gridCol w:w="992"/>
        <w:gridCol w:w="1134"/>
        <w:gridCol w:w="1134"/>
        <w:gridCol w:w="1418"/>
      </w:tblGrid>
      <w:tr w:rsidR="00D01943" w:rsidRPr="005B24B8" w:rsidTr="00657706">
        <w:trPr>
          <w:trHeight w:val="1134"/>
        </w:trPr>
        <w:tc>
          <w:tcPr>
            <w:tcW w:w="567" w:type="dxa"/>
            <w:vMerge w:val="restart"/>
            <w:vAlign w:val="center"/>
          </w:tcPr>
          <w:p w:rsidR="00D01943" w:rsidRPr="005B24B8" w:rsidRDefault="00D01943" w:rsidP="00D01943">
            <w:pPr>
              <w:shd w:val="clear" w:color="auto" w:fill="FFFFFF"/>
              <w:rPr>
                <w:rFonts w:eastAsia="Calibri"/>
                <w:sz w:val="16"/>
                <w:szCs w:val="16"/>
                <w:lang w:eastAsia="en-US" w:bidi="ar-SA"/>
              </w:rPr>
            </w:pPr>
            <w:r w:rsidRPr="005B24B8">
              <w:rPr>
                <w:rFonts w:eastAsia="Calibri"/>
                <w:bCs/>
                <w:color w:val="000000"/>
                <w:sz w:val="16"/>
                <w:szCs w:val="16"/>
                <w:lang w:eastAsia="en-US" w:bidi="ar-SA"/>
              </w:rPr>
              <w:t xml:space="preserve">№ </w:t>
            </w:r>
            <w:r w:rsidRPr="005B24B8">
              <w:rPr>
                <w:rFonts w:eastAsia="Calibri"/>
                <w:bCs/>
                <w:color w:val="000000"/>
                <w:spacing w:val="-11"/>
                <w:sz w:val="16"/>
                <w:szCs w:val="16"/>
                <w:lang w:eastAsia="en-US" w:bidi="ar-SA"/>
              </w:rPr>
              <w:t>п/п</w:t>
            </w:r>
          </w:p>
        </w:tc>
        <w:tc>
          <w:tcPr>
            <w:tcW w:w="4111" w:type="dxa"/>
            <w:vMerge w:val="restart"/>
            <w:vAlign w:val="center"/>
          </w:tcPr>
          <w:p w:rsidR="00D01943" w:rsidRPr="005B24B8" w:rsidRDefault="00D01943" w:rsidP="00D01943">
            <w:pPr>
              <w:shd w:val="clear" w:color="auto" w:fill="FFFFFF"/>
              <w:spacing w:line="360" w:lineRule="auto"/>
              <w:rPr>
                <w:rFonts w:eastAsia="Calibri"/>
                <w:sz w:val="16"/>
                <w:szCs w:val="16"/>
                <w:lang w:eastAsia="en-US" w:bidi="ar-SA"/>
              </w:rPr>
            </w:pPr>
            <w:r w:rsidRPr="005B24B8">
              <w:rPr>
                <w:rFonts w:eastAsia="Calibri"/>
                <w:bCs/>
                <w:color w:val="000000"/>
                <w:spacing w:val="-1"/>
                <w:sz w:val="16"/>
                <w:szCs w:val="16"/>
                <w:lang w:eastAsia="en-US" w:bidi="ar-SA"/>
              </w:rPr>
              <w:t>Наименование разделов и тем</w:t>
            </w:r>
          </w:p>
        </w:tc>
        <w:tc>
          <w:tcPr>
            <w:tcW w:w="992" w:type="dxa"/>
            <w:vMerge w:val="restart"/>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Всего, час</w:t>
            </w:r>
          </w:p>
        </w:tc>
        <w:tc>
          <w:tcPr>
            <w:tcW w:w="2268" w:type="dxa"/>
            <w:gridSpan w:val="2"/>
            <w:vAlign w:val="center"/>
          </w:tcPr>
          <w:p w:rsidR="00D01943" w:rsidRPr="005B24B8" w:rsidRDefault="00D01943" w:rsidP="00D01943">
            <w:pPr>
              <w:rPr>
                <w:rFonts w:eastAsia="Calibri"/>
                <w:bCs/>
                <w:sz w:val="16"/>
                <w:szCs w:val="16"/>
                <w:lang w:eastAsia="en-US" w:bidi="ar-SA"/>
              </w:rPr>
            </w:pPr>
            <w:r w:rsidRPr="005B24B8">
              <w:rPr>
                <w:rFonts w:eastAsia="Calibri"/>
                <w:sz w:val="16"/>
                <w:szCs w:val="16"/>
                <w:lang w:eastAsia="en-US" w:bidi="ar-SA"/>
              </w:rPr>
              <w:t>В том числе</w:t>
            </w:r>
          </w:p>
        </w:tc>
        <w:tc>
          <w:tcPr>
            <w:tcW w:w="1418" w:type="dxa"/>
            <w:vMerge w:val="restart"/>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 xml:space="preserve">Форма </w:t>
            </w:r>
          </w:p>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контроля</w:t>
            </w:r>
          </w:p>
        </w:tc>
      </w:tr>
      <w:tr w:rsidR="00D01943" w:rsidRPr="005B24B8" w:rsidTr="005B24B8">
        <w:trPr>
          <w:trHeight w:val="548"/>
        </w:trPr>
        <w:tc>
          <w:tcPr>
            <w:tcW w:w="567" w:type="dxa"/>
            <w:vMerge/>
          </w:tcPr>
          <w:p w:rsidR="00D01943" w:rsidRPr="005B24B8" w:rsidRDefault="00D01943" w:rsidP="00D01943">
            <w:pPr>
              <w:shd w:val="clear" w:color="auto" w:fill="FFFFFF"/>
              <w:spacing w:line="360" w:lineRule="auto"/>
              <w:rPr>
                <w:rFonts w:eastAsia="Calibri"/>
                <w:bCs/>
                <w:color w:val="000000"/>
                <w:sz w:val="16"/>
                <w:szCs w:val="16"/>
                <w:lang w:eastAsia="en-US" w:bidi="ar-SA"/>
              </w:rPr>
            </w:pPr>
          </w:p>
        </w:tc>
        <w:tc>
          <w:tcPr>
            <w:tcW w:w="4111" w:type="dxa"/>
            <w:vMerge/>
          </w:tcPr>
          <w:p w:rsidR="00D01943" w:rsidRPr="005B24B8" w:rsidRDefault="00D01943" w:rsidP="00D01943">
            <w:pPr>
              <w:shd w:val="clear" w:color="auto" w:fill="FFFFFF"/>
              <w:spacing w:line="360" w:lineRule="auto"/>
              <w:ind w:left="1634"/>
              <w:rPr>
                <w:rFonts w:eastAsia="Calibri"/>
                <w:bCs/>
                <w:color w:val="000000"/>
                <w:spacing w:val="-1"/>
                <w:sz w:val="16"/>
                <w:szCs w:val="16"/>
                <w:lang w:eastAsia="en-US" w:bidi="ar-SA"/>
              </w:rPr>
            </w:pPr>
          </w:p>
        </w:tc>
        <w:tc>
          <w:tcPr>
            <w:tcW w:w="992" w:type="dxa"/>
            <w:vMerge/>
          </w:tcPr>
          <w:p w:rsidR="00D01943" w:rsidRPr="005B24B8" w:rsidRDefault="00D01943" w:rsidP="00D01943">
            <w:pPr>
              <w:spacing w:line="360" w:lineRule="auto"/>
              <w:rPr>
                <w:rFonts w:eastAsia="Calibri"/>
                <w:bCs/>
                <w:sz w:val="16"/>
                <w:szCs w:val="16"/>
                <w:lang w:eastAsia="en-US" w:bidi="ar-SA"/>
              </w:rPr>
            </w:pPr>
          </w:p>
        </w:tc>
        <w:tc>
          <w:tcPr>
            <w:tcW w:w="1134" w:type="dxa"/>
            <w:vAlign w:val="center"/>
          </w:tcPr>
          <w:p w:rsidR="00D01943" w:rsidRPr="005B24B8" w:rsidRDefault="00D01943" w:rsidP="00D01943">
            <w:pPr>
              <w:spacing w:line="360" w:lineRule="auto"/>
              <w:rPr>
                <w:rFonts w:eastAsia="Calibri"/>
                <w:bCs/>
                <w:sz w:val="16"/>
                <w:szCs w:val="16"/>
                <w:lang w:eastAsia="en-US" w:bidi="ar-SA"/>
              </w:rPr>
            </w:pPr>
            <w:proofErr w:type="spellStart"/>
            <w:r w:rsidRPr="005B24B8">
              <w:rPr>
                <w:rFonts w:eastAsia="Calibri"/>
                <w:bCs/>
                <w:sz w:val="16"/>
                <w:szCs w:val="16"/>
                <w:lang w:val="en-US" w:eastAsia="en-US" w:bidi="ar-SA"/>
              </w:rPr>
              <w:t>Лекции</w:t>
            </w:r>
            <w:proofErr w:type="spellEnd"/>
          </w:p>
        </w:tc>
        <w:tc>
          <w:tcPr>
            <w:tcW w:w="1134" w:type="dxa"/>
            <w:vAlign w:val="center"/>
          </w:tcPr>
          <w:p w:rsidR="00D01943" w:rsidRPr="005B24B8" w:rsidRDefault="00D01943" w:rsidP="00D01943">
            <w:pPr>
              <w:rPr>
                <w:rFonts w:eastAsia="Calibri"/>
                <w:bCs/>
                <w:sz w:val="16"/>
                <w:szCs w:val="16"/>
                <w:lang w:eastAsia="en-US" w:bidi="ar-SA"/>
              </w:rPr>
            </w:pPr>
            <w:proofErr w:type="spellStart"/>
            <w:r w:rsidRPr="005B24B8">
              <w:rPr>
                <w:rFonts w:eastAsia="Calibri"/>
                <w:bCs/>
                <w:sz w:val="16"/>
                <w:szCs w:val="16"/>
                <w:lang w:eastAsia="en-US" w:bidi="ar-SA"/>
              </w:rPr>
              <w:t>Практ</w:t>
            </w:r>
            <w:proofErr w:type="spellEnd"/>
            <w:r w:rsidRPr="005B24B8">
              <w:rPr>
                <w:rFonts w:eastAsia="Calibri"/>
                <w:bCs/>
                <w:sz w:val="16"/>
                <w:szCs w:val="16"/>
                <w:lang w:eastAsia="en-US" w:bidi="ar-SA"/>
              </w:rPr>
              <w:t>. занятия</w:t>
            </w:r>
          </w:p>
        </w:tc>
        <w:tc>
          <w:tcPr>
            <w:tcW w:w="1418" w:type="dxa"/>
            <w:vMerge/>
          </w:tcPr>
          <w:p w:rsidR="00D01943" w:rsidRPr="005B24B8" w:rsidRDefault="00D01943" w:rsidP="00D01943">
            <w:pPr>
              <w:spacing w:line="360" w:lineRule="auto"/>
              <w:rPr>
                <w:rFonts w:eastAsia="Calibri"/>
                <w:bCs/>
                <w:sz w:val="16"/>
                <w:szCs w:val="16"/>
                <w:lang w:eastAsia="en-US" w:bidi="ar-SA"/>
              </w:rPr>
            </w:pPr>
          </w:p>
        </w:tc>
      </w:tr>
      <w:tr w:rsidR="00D01943" w:rsidRPr="005B24B8" w:rsidTr="00657706">
        <w:trPr>
          <w:trHeight w:val="73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1.</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Правовое обеспечение оценки собственности</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56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2.</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Микро- и макроэкономика</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16</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6</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56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3.</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Бухгалтерский учет и аудит</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10</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56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4.</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Экономический анализ</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14</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8</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56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5.</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Налоги и налогообложение</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10</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56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6.</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Математические методы в оценке</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21</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10</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11</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56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7.</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Финансирование инвестиций</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10</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8</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73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8.</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Основы оценки стоимости собственности</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10</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8</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73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9.</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Основы оценки стоимости недвижимости</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74</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42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32</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экзамен</w:t>
            </w:r>
          </w:p>
        </w:tc>
      </w:tr>
      <w:tr w:rsidR="00D01943" w:rsidRPr="005B24B8" w:rsidTr="00657706">
        <w:trPr>
          <w:trHeight w:val="1020"/>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10.</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Основы оценки стоимости машин, оборудования, и транспортных средств</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50</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36</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14</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1020"/>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11.</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Оценка стоимости нематериальных активов, интеллектуальной собственности</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50</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36</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14</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73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lastRenderedPageBreak/>
              <w:t>12.</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Основы оценки стоимости предприятия (бизнеса)</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71</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40</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31</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экзамен</w:t>
            </w:r>
          </w:p>
        </w:tc>
      </w:tr>
      <w:tr w:rsidR="00D01943" w:rsidRPr="005B24B8" w:rsidTr="00657706">
        <w:trPr>
          <w:trHeight w:val="56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13.</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Ценообразование в строительстве</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20</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16</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4</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73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14.</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Практика оценки стоимости недвижимости</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52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38</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14</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56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15.</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Оценка стоимости земли</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32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20</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12</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1020"/>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16.</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Ценообразование в машиностроении и приборостроении</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24</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20</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4</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73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17.</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Практика оценки стоимости машин, оборудования и приборов</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38</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28</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10</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73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18.</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Основы оценки стоимости транспортных средств</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38</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28</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10</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73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19.</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Интеллектуальная собственность как особый вид оценки</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16</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4</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73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20.</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Ценообразование интеллектуальной собственности</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24</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20</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4</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73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21.</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Практика оценки стоимости нематериальных активов</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14</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8</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1020"/>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22.</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Практика оценки стоимости интеллектуальной собственности в особых случаях</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32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10</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экзамен</w:t>
            </w:r>
          </w:p>
        </w:tc>
      </w:tr>
      <w:tr w:rsidR="00D01943" w:rsidRPr="005B24B8" w:rsidTr="00657706">
        <w:trPr>
          <w:trHeight w:val="56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23.</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Оценка стоимости ценных бумаг</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20</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16</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4</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73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24.</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Практика оценки стоимости предприятия (бизнеса)</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54</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20</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34</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зачет</w:t>
            </w:r>
          </w:p>
        </w:tc>
      </w:tr>
      <w:tr w:rsidR="00D01943" w:rsidRPr="005B24B8" w:rsidTr="00657706">
        <w:trPr>
          <w:trHeight w:val="73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25.</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Оценка стоимости финансовых институтов</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32</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20</w:t>
            </w: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12</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экзамен</w:t>
            </w:r>
          </w:p>
        </w:tc>
      </w:tr>
      <w:tr w:rsidR="00D01943" w:rsidRPr="005B24B8" w:rsidTr="00657706">
        <w:trPr>
          <w:trHeight w:val="567"/>
        </w:trPr>
        <w:tc>
          <w:tcPr>
            <w:tcW w:w="567" w:type="dxa"/>
            <w:vAlign w:val="center"/>
          </w:tcPr>
          <w:p w:rsidR="00D01943" w:rsidRPr="005B24B8" w:rsidRDefault="00D01943" w:rsidP="00D01943">
            <w:pPr>
              <w:rPr>
                <w:rFonts w:eastAsia="Calibri"/>
                <w:bCs/>
                <w:sz w:val="16"/>
                <w:szCs w:val="16"/>
                <w:lang w:eastAsia="en-US" w:bidi="ar-SA"/>
              </w:rPr>
            </w:pPr>
            <w:r w:rsidRPr="005B24B8">
              <w:rPr>
                <w:rFonts w:eastAsia="Calibri"/>
                <w:bCs/>
                <w:sz w:val="16"/>
                <w:szCs w:val="16"/>
                <w:lang w:eastAsia="en-US" w:bidi="ar-SA"/>
              </w:rPr>
              <w:t>26.</w:t>
            </w:r>
          </w:p>
        </w:tc>
        <w:tc>
          <w:tcPr>
            <w:tcW w:w="4111"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Выпускная аттестационная работа</w:t>
            </w:r>
          </w:p>
        </w:tc>
        <w:tc>
          <w:tcPr>
            <w:tcW w:w="992"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10</w:t>
            </w:r>
          </w:p>
        </w:tc>
        <w:tc>
          <w:tcPr>
            <w:tcW w:w="1134" w:type="dxa"/>
            <w:vAlign w:val="center"/>
          </w:tcPr>
          <w:p w:rsidR="00D01943" w:rsidRPr="005B24B8" w:rsidRDefault="00D01943" w:rsidP="00D01943">
            <w:pPr>
              <w:rPr>
                <w:rFonts w:eastAsia="Calibri"/>
                <w:bCs/>
                <w:sz w:val="16"/>
                <w:szCs w:val="16"/>
                <w:lang w:eastAsia="en-US" w:bidi="ar-SA"/>
              </w:rPr>
            </w:pPr>
          </w:p>
        </w:tc>
        <w:tc>
          <w:tcPr>
            <w:tcW w:w="1134"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10</w:t>
            </w:r>
          </w:p>
        </w:tc>
        <w:tc>
          <w:tcPr>
            <w:tcW w:w="1418" w:type="dxa"/>
            <w:vAlign w:val="center"/>
          </w:tcPr>
          <w:p w:rsidR="00D01943" w:rsidRPr="005B24B8" w:rsidRDefault="00D01943" w:rsidP="00D01943">
            <w:pPr>
              <w:rPr>
                <w:rFonts w:eastAsia="Calibri"/>
                <w:sz w:val="16"/>
                <w:szCs w:val="16"/>
                <w:lang w:eastAsia="en-US" w:bidi="ar-SA"/>
              </w:rPr>
            </w:pPr>
            <w:r w:rsidRPr="005B24B8">
              <w:rPr>
                <w:rFonts w:eastAsia="Calibri"/>
                <w:sz w:val="16"/>
                <w:szCs w:val="16"/>
                <w:lang w:eastAsia="en-US" w:bidi="ar-SA"/>
              </w:rPr>
              <w:t>комиссия</w:t>
            </w:r>
          </w:p>
        </w:tc>
      </w:tr>
      <w:tr w:rsidR="00D01943" w:rsidRPr="005B24B8" w:rsidTr="00657706">
        <w:trPr>
          <w:trHeight w:hRule="exact" w:val="454"/>
        </w:trPr>
        <w:tc>
          <w:tcPr>
            <w:tcW w:w="4678" w:type="dxa"/>
            <w:gridSpan w:val="2"/>
            <w:vAlign w:val="center"/>
          </w:tcPr>
          <w:p w:rsidR="00D01943" w:rsidRPr="005B24B8" w:rsidRDefault="00D01943" w:rsidP="00D01943">
            <w:pPr>
              <w:jc w:val="right"/>
              <w:rPr>
                <w:rFonts w:eastAsia="Calibri"/>
                <w:b/>
                <w:bCs/>
                <w:i/>
                <w:sz w:val="16"/>
                <w:szCs w:val="16"/>
                <w:lang w:eastAsia="en-US" w:bidi="ar-SA"/>
              </w:rPr>
            </w:pPr>
            <w:r w:rsidRPr="005B24B8">
              <w:rPr>
                <w:rFonts w:eastAsia="Calibri"/>
                <w:b/>
                <w:bCs/>
                <w:i/>
                <w:sz w:val="16"/>
                <w:szCs w:val="16"/>
                <w:lang w:eastAsia="en-US" w:bidi="ar-SA"/>
              </w:rPr>
              <w:t>ИТОГО</w:t>
            </w:r>
            <w:r w:rsidRPr="005B24B8">
              <w:rPr>
                <w:rFonts w:eastAsia="Calibri"/>
                <w:b/>
                <w:bCs/>
                <w:i/>
                <w:sz w:val="16"/>
                <w:szCs w:val="16"/>
                <w:lang w:eastAsia="en-US" w:bidi="ar-SA"/>
              </w:rPr>
              <w:fldChar w:fldCharType="begin"/>
            </w:r>
            <w:r w:rsidRPr="005B24B8">
              <w:rPr>
                <w:rFonts w:eastAsia="Calibri"/>
                <w:b/>
                <w:bCs/>
                <w:i/>
                <w:sz w:val="16"/>
                <w:szCs w:val="16"/>
                <w:lang w:eastAsia="en-US" w:bidi="ar-SA"/>
              </w:rPr>
              <w:instrText xml:space="preserve"> =SUM(ABOVE) </w:instrText>
            </w:r>
            <w:r w:rsidRPr="005B24B8">
              <w:rPr>
                <w:rFonts w:eastAsia="Calibri"/>
                <w:b/>
                <w:bCs/>
                <w:i/>
                <w:sz w:val="16"/>
                <w:szCs w:val="16"/>
                <w:lang w:eastAsia="en-US" w:bidi="ar-SA"/>
              </w:rPr>
              <w:fldChar w:fldCharType="end"/>
            </w:r>
          </w:p>
        </w:tc>
        <w:tc>
          <w:tcPr>
            <w:tcW w:w="992" w:type="dxa"/>
            <w:vAlign w:val="center"/>
          </w:tcPr>
          <w:p w:rsidR="00D01943" w:rsidRPr="005B24B8" w:rsidRDefault="00D01943" w:rsidP="00D01943">
            <w:pPr>
              <w:rPr>
                <w:rFonts w:eastAsia="Calibri"/>
                <w:b/>
                <w:bCs/>
                <w:i/>
                <w:sz w:val="16"/>
                <w:szCs w:val="16"/>
                <w:lang w:eastAsia="en-US" w:bidi="ar-SA"/>
              </w:rPr>
            </w:pPr>
            <w:r w:rsidRPr="005B24B8">
              <w:rPr>
                <w:rFonts w:eastAsia="Calibri"/>
                <w:b/>
                <w:bCs/>
                <w:i/>
                <w:sz w:val="16"/>
                <w:szCs w:val="16"/>
                <w:lang w:eastAsia="en-US" w:bidi="ar-SA"/>
              </w:rPr>
              <w:fldChar w:fldCharType="begin"/>
            </w:r>
            <w:r w:rsidRPr="005B24B8">
              <w:rPr>
                <w:rFonts w:eastAsia="Calibri"/>
                <w:b/>
                <w:bCs/>
                <w:i/>
                <w:sz w:val="16"/>
                <w:szCs w:val="16"/>
                <w:lang w:eastAsia="en-US" w:bidi="ar-SA"/>
              </w:rPr>
              <w:instrText xml:space="preserve"> =SUM(ABOVE) </w:instrText>
            </w:r>
            <w:r w:rsidRPr="005B24B8">
              <w:rPr>
                <w:rFonts w:eastAsia="Calibri"/>
                <w:b/>
                <w:bCs/>
                <w:i/>
                <w:sz w:val="16"/>
                <w:szCs w:val="16"/>
                <w:lang w:eastAsia="en-US" w:bidi="ar-SA"/>
              </w:rPr>
              <w:fldChar w:fldCharType="end"/>
            </w:r>
            <w:r w:rsidRPr="005B24B8">
              <w:rPr>
                <w:rFonts w:eastAsia="Calibri"/>
                <w:b/>
                <w:bCs/>
                <w:i/>
                <w:sz w:val="16"/>
                <w:szCs w:val="16"/>
                <w:lang w:eastAsia="en-US" w:bidi="ar-SA"/>
              </w:rPr>
              <w:t>810</w:t>
            </w:r>
          </w:p>
        </w:tc>
        <w:tc>
          <w:tcPr>
            <w:tcW w:w="1134" w:type="dxa"/>
            <w:vAlign w:val="center"/>
          </w:tcPr>
          <w:p w:rsidR="00D01943" w:rsidRPr="005B24B8" w:rsidRDefault="00D01943" w:rsidP="00D01943">
            <w:pPr>
              <w:rPr>
                <w:rFonts w:eastAsia="Calibri"/>
                <w:b/>
                <w:bCs/>
                <w:i/>
                <w:sz w:val="16"/>
                <w:szCs w:val="16"/>
                <w:lang w:eastAsia="en-US" w:bidi="ar-SA"/>
              </w:rPr>
            </w:pPr>
            <w:r w:rsidRPr="005B24B8">
              <w:rPr>
                <w:rFonts w:eastAsia="Calibri"/>
                <w:b/>
                <w:bCs/>
                <w:i/>
                <w:sz w:val="16"/>
                <w:szCs w:val="16"/>
                <w:lang w:eastAsia="en-US" w:bidi="ar-SA"/>
              </w:rPr>
              <w:t>530</w:t>
            </w:r>
          </w:p>
        </w:tc>
        <w:tc>
          <w:tcPr>
            <w:tcW w:w="1134" w:type="dxa"/>
            <w:vAlign w:val="center"/>
          </w:tcPr>
          <w:p w:rsidR="00D01943" w:rsidRPr="005B24B8" w:rsidRDefault="00D01943" w:rsidP="00D01943">
            <w:pPr>
              <w:rPr>
                <w:rFonts w:eastAsia="Calibri"/>
                <w:b/>
                <w:bCs/>
                <w:i/>
                <w:sz w:val="16"/>
                <w:szCs w:val="16"/>
                <w:lang w:eastAsia="en-US" w:bidi="ar-SA"/>
              </w:rPr>
            </w:pPr>
            <w:r w:rsidRPr="005B24B8">
              <w:rPr>
                <w:rFonts w:eastAsia="Calibri"/>
                <w:b/>
                <w:bCs/>
                <w:i/>
                <w:sz w:val="16"/>
                <w:szCs w:val="16"/>
                <w:lang w:eastAsia="en-US" w:bidi="ar-SA"/>
              </w:rPr>
              <w:t>280</w:t>
            </w:r>
          </w:p>
        </w:tc>
        <w:tc>
          <w:tcPr>
            <w:tcW w:w="1418" w:type="dxa"/>
            <w:vAlign w:val="center"/>
          </w:tcPr>
          <w:p w:rsidR="00D01943" w:rsidRPr="005B24B8" w:rsidRDefault="00D01943" w:rsidP="00D01943">
            <w:pPr>
              <w:rPr>
                <w:rFonts w:eastAsia="Calibri"/>
                <w:b/>
                <w:bCs/>
                <w:i/>
                <w:sz w:val="16"/>
                <w:szCs w:val="16"/>
                <w:lang w:eastAsia="en-US"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1E5113">
        <w:rPr>
          <w:b/>
          <w:sz w:val="20"/>
        </w:rPr>
        <w:t>32 000 (Тридцать две тысячи)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Pr>
          <w:sz w:val="20"/>
        </w:rPr>
        <w:t>ых</w:t>
      </w:r>
      <w:proofErr w:type="spellEnd"/>
      <w:r>
        <w:rPr>
          <w:sz w:val="20"/>
        </w:rPr>
        <w:t>) недостатка (</w:t>
      </w:r>
      <w:proofErr w:type="spellStart"/>
      <w:r>
        <w:rPr>
          <w:sz w:val="20"/>
        </w:rPr>
        <w:t>ов</w:t>
      </w:r>
      <w:proofErr w:type="spellEnd"/>
      <w:r>
        <w:rPr>
          <w:sz w:val="20"/>
        </w:rPr>
        <w:t>)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w:t>
      </w:r>
      <w:proofErr w:type="spellStart"/>
      <w:r>
        <w:rPr>
          <w:sz w:val="20"/>
        </w:rPr>
        <w:t>mail</w:t>
      </w:r>
      <w:proofErr w:type="spellEnd"/>
      <w:r>
        <w:rPr>
          <w:sz w:val="20"/>
        </w:rPr>
        <w:t>),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 xml:space="preserve">Тульское ОСБ № 8604 </w:t>
            </w:r>
            <w:proofErr w:type="spellStart"/>
            <w:r>
              <w:rPr>
                <w:sz w:val="20"/>
              </w:rPr>
              <w:t>г.Тула</w:t>
            </w:r>
            <w:proofErr w:type="spellEnd"/>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1E5113">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proofErr w:type="gramStart"/>
            <w:r w:rsidRPr="00EB278C">
              <w:rPr>
                <w:sz w:val="20"/>
                <w:lang w:val="en-US"/>
              </w:rPr>
              <w:t>e-mail</w:t>
            </w:r>
            <w:proofErr w:type="gramEnd"/>
            <w:r w:rsidRPr="00EB278C">
              <w:rPr>
                <w:sz w:val="20"/>
                <w:lang w:val="en-US"/>
              </w:rPr>
              <w:t>:</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1E5113">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1E5113">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 xml:space="preserve">В.А. </w:t>
      </w:r>
      <w:proofErr w:type="spellStart"/>
      <w:r w:rsidR="00EB278C">
        <w:t>Лариков</w:t>
      </w:r>
      <w:proofErr w:type="spellEnd"/>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1E5113">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1E5113">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1E5113">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1E5113">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1E5113">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1E5113"/>
    <w:rsid w:val="002463FD"/>
    <w:rsid w:val="00253CBC"/>
    <w:rsid w:val="003D31A1"/>
    <w:rsid w:val="00402F9C"/>
    <w:rsid w:val="005047CF"/>
    <w:rsid w:val="005B24B8"/>
    <w:rsid w:val="005C542A"/>
    <w:rsid w:val="00764087"/>
    <w:rsid w:val="00D01943"/>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B420C38-D0D4-4252-84B9-25FC4FC0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 w:type="table" w:customStyle="1" w:styleId="1">
    <w:name w:val="Сетка таблицы1"/>
    <w:basedOn w:val="a1"/>
    <w:next w:val="a5"/>
    <w:uiPriority w:val="59"/>
    <w:rsid w:val="00D01943"/>
    <w:pPr>
      <w:widowControl/>
      <w:autoSpaceDE/>
      <w:autoSpaceDN/>
      <w:jc w:val="center"/>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D0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dcterms:created xsi:type="dcterms:W3CDTF">2020-03-24T09:59:00Z</dcterms:created>
  <dcterms:modified xsi:type="dcterms:W3CDTF">2020-07-06T08:33:00Z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