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BE4CF2">
        <w:rPr>
          <w:b/>
          <w:sz w:val="20"/>
        </w:rPr>
        <w:t>«Маркетинг»</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FC2AB4">
        <w:rPr>
          <w:sz w:val="20"/>
        </w:rPr>
        <w:t>506</w:t>
      </w:r>
      <w:r w:rsidR="00D07D22">
        <w:rPr>
          <w:sz w:val="20"/>
        </w:rPr>
        <w:t xml:space="preserve"> часов</w:t>
      </w:r>
      <w:r>
        <w:rPr>
          <w:sz w:val="20"/>
        </w:rPr>
        <w:t>, срок освоения образовательной программы (продолжительность обучения) -</w:t>
      </w:r>
      <w:r w:rsidR="00FC2AB4">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411"/>
        <w:gridCol w:w="896"/>
        <w:gridCol w:w="968"/>
        <w:gridCol w:w="950"/>
        <w:gridCol w:w="1460"/>
      </w:tblGrid>
      <w:tr w:rsidR="00BE4CF2" w:rsidRPr="001F6D68" w:rsidTr="0014698D">
        <w:trPr>
          <w:trHeight w:val="495"/>
        </w:trPr>
        <w:tc>
          <w:tcPr>
            <w:tcW w:w="495" w:type="dxa"/>
            <w:vMerge w:val="restart"/>
            <w:vAlign w:val="center"/>
          </w:tcPr>
          <w:p w:rsidR="00BE4CF2" w:rsidRPr="001F6D68" w:rsidRDefault="00BE4CF2" w:rsidP="00BE4CF2">
            <w:pPr>
              <w:widowControl/>
              <w:shd w:val="clear" w:color="auto" w:fill="FFFFFF"/>
              <w:autoSpaceDE/>
              <w:autoSpaceDN/>
              <w:spacing w:line="259" w:lineRule="exact"/>
              <w:jc w:val="center"/>
              <w:rPr>
                <w:sz w:val="16"/>
                <w:szCs w:val="16"/>
                <w:lang w:bidi="ar-SA"/>
              </w:rPr>
            </w:pPr>
            <w:r w:rsidRPr="001F6D68">
              <w:rPr>
                <w:rFonts w:ascii="Arial" w:hAnsi="Arial"/>
                <w:bCs/>
                <w:color w:val="000000"/>
                <w:sz w:val="16"/>
                <w:szCs w:val="16"/>
                <w:lang w:bidi="ar-SA"/>
              </w:rPr>
              <w:t xml:space="preserve">№ </w:t>
            </w:r>
            <w:r w:rsidRPr="001F6D68">
              <w:rPr>
                <w:rFonts w:ascii="Arial" w:hAnsi="Arial"/>
                <w:bCs/>
                <w:color w:val="000000"/>
                <w:spacing w:val="-11"/>
                <w:sz w:val="16"/>
                <w:szCs w:val="16"/>
                <w:lang w:bidi="ar-SA"/>
              </w:rPr>
              <w:t>п</w:t>
            </w:r>
            <w:r w:rsidRPr="001F6D68">
              <w:rPr>
                <w:rFonts w:ascii="Arial" w:hAnsi="Arial" w:cs="Arial"/>
                <w:bCs/>
                <w:color w:val="000000"/>
                <w:spacing w:val="-11"/>
                <w:sz w:val="16"/>
                <w:szCs w:val="16"/>
                <w:lang w:bidi="ar-SA"/>
              </w:rPr>
              <w:t>/</w:t>
            </w:r>
            <w:r w:rsidRPr="001F6D68">
              <w:rPr>
                <w:rFonts w:ascii="Arial" w:hAnsi="Arial"/>
                <w:bCs/>
                <w:color w:val="000000"/>
                <w:spacing w:val="-11"/>
                <w:sz w:val="16"/>
                <w:szCs w:val="16"/>
                <w:lang w:bidi="ar-SA"/>
              </w:rPr>
              <w:t>п</w:t>
            </w:r>
          </w:p>
        </w:tc>
        <w:tc>
          <w:tcPr>
            <w:tcW w:w="4411" w:type="dxa"/>
            <w:vMerge w:val="restart"/>
            <w:vAlign w:val="center"/>
          </w:tcPr>
          <w:p w:rsidR="00BE4CF2" w:rsidRPr="001F6D68" w:rsidRDefault="00BE4CF2" w:rsidP="00BE4CF2">
            <w:pPr>
              <w:widowControl/>
              <w:shd w:val="clear" w:color="auto" w:fill="FFFFFF"/>
              <w:autoSpaceDE/>
              <w:autoSpaceDN/>
              <w:jc w:val="center"/>
              <w:rPr>
                <w:sz w:val="16"/>
                <w:szCs w:val="16"/>
                <w:lang w:bidi="ar-SA"/>
              </w:rPr>
            </w:pPr>
            <w:r w:rsidRPr="001F6D68">
              <w:rPr>
                <w:rFonts w:ascii="Arial" w:hAnsi="Arial"/>
                <w:bCs/>
                <w:color w:val="000000"/>
                <w:spacing w:val="-1"/>
                <w:sz w:val="16"/>
                <w:szCs w:val="16"/>
                <w:lang w:bidi="ar-SA"/>
              </w:rPr>
              <w:t>Наименование</w:t>
            </w:r>
            <w:r w:rsidRPr="001F6D68">
              <w:rPr>
                <w:rFonts w:ascii="Arial" w:hAnsi="Arial" w:cs="Arial"/>
                <w:bCs/>
                <w:color w:val="000000"/>
                <w:spacing w:val="-1"/>
                <w:sz w:val="16"/>
                <w:szCs w:val="16"/>
                <w:lang w:bidi="ar-SA"/>
              </w:rPr>
              <w:t xml:space="preserve"> </w:t>
            </w:r>
            <w:r w:rsidRPr="001F6D68">
              <w:rPr>
                <w:rFonts w:ascii="Arial" w:hAnsi="Arial"/>
                <w:bCs/>
                <w:color w:val="000000"/>
                <w:spacing w:val="-1"/>
                <w:sz w:val="16"/>
                <w:szCs w:val="16"/>
                <w:lang w:bidi="ar-SA"/>
              </w:rPr>
              <w:t>разделов и тем</w:t>
            </w:r>
          </w:p>
        </w:tc>
        <w:tc>
          <w:tcPr>
            <w:tcW w:w="896" w:type="dxa"/>
            <w:vMerge w:val="restart"/>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Всего, час</w:t>
            </w:r>
          </w:p>
        </w:tc>
        <w:tc>
          <w:tcPr>
            <w:tcW w:w="1918" w:type="dxa"/>
            <w:gridSpan w:val="2"/>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val="en-US" w:bidi="ar-SA"/>
              </w:rPr>
              <w:t xml:space="preserve">В </w:t>
            </w:r>
            <w:r w:rsidRPr="001F6D68">
              <w:rPr>
                <w:rFonts w:ascii="Arial" w:hAnsi="Arial" w:cs="Arial"/>
                <w:bCs/>
                <w:sz w:val="16"/>
                <w:szCs w:val="16"/>
                <w:lang w:bidi="ar-SA"/>
              </w:rPr>
              <w:t>том числе</w:t>
            </w:r>
          </w:p>
        </w:tc>
        <w:tc>
          <w:tcPr>
            <w:tcW w:w="1460" w:type="dxa"/>
            <w:vMerge w:val="restart"/>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Форма контроля</w:t>
            </w:r>
          </w:p>
          <w:p w:rsidR="00BE4CF2" w:rsidRPr="001F6D68" w:rsidRDefault="00BE4CF2" w:rsidP="00BE4CF2">
            <w:pPr>
              <w:widowControl/>
              <w:shd w:val="clear" w:color="auto" w:fill="FFFFFF"/>
              <w:autoSpaceDE/>
              <w:autoSpaceDN/>
              <w:spacing w:line="259" w:lineRule="exact"/>
              <w:jc w:val="center"/>
              <w:rPr>
                <w:sz w:val="16"/>
                <w:szCs w:val="16"/>
                <w:lang w:bidi="ar-SA"/>
              </w:rPr>
            </w:pPr>
          </w:p>
        </w:tc>
      </w:tr>
      <w:tr w:rsidR="00BE4CF2" w:rsidRPr="001F6D68" w:rsidTr="0014698D">
        <w:trPr>
          <w:trHeight w:val="225"/>
        </w:trPr>
        <w:tc>
          <w:tcPr>
            <w:tcW w:w="495" w:type="dxa"/>
            <w:vMerge/>
            <w:vAlign w:val="center"/>
          </w:tcPr>
          <w:p w:rsidR="00BE4CF2" w:rsidRPr="001F6D68" w:rsidRDefault="00BE4CF2" w:rsidP="00BE4CF2">
            <w:pPr>
              <w:widowControl/>
              <w:shd w:val="clear" w:color="auto" w:fill="FFFFFF"/>
              <w:autoSpaceDE/>
              <w:autoSpaceDN/>
              <w:spacing w:line="259" w:lineRule="exact"/>
              <w:jc w:val="center"/>
              <w:rPr>
                <w:rFonts w:ascii="Arial" w:hAnsi="Arial"/>
                <w:bCs/>
                <w:color w:val="000000"/>
                <w:sz w:val="16"/>
                <w:szCs w:val="16"/>
                <w:lang w:bidi="ar-SA"/>
              </w:rPr>
            </w:pPr>
          </w:p>
        </w:tc>
        <w:tc>
          <w:tcPr>
            <w:tcW w:w="4411" w:type="dxa"/>
            <w:vMerge/>
            <w:vAlign w:val="center"/>
          </w:tcPr>
          <w:p w:rsidR="00BE4CF2" w:rsidRPr="001F6D68" w:rsidRDefault="00BE4CF2" w:rsidP="00BE4CF2">
            <w:pPr>
              <w:widowControl/>
              <w:shd w:val="clear" w:color="auto" w:fill="FFFFFF"/>
              <w:autoSpaceDE/>
              <w:autoSpaceDN/>
              <w:jc w:val="center"/>
              <w:rPr>
                <w:rFonts w:ascii="Arial" w:hAnsi="Arial"/>
                <w:bCs/>
                <w:color w:val="000000"/>
                <w:spacing w:val="-1"/>
                <w:sz w:val="16"/>
                <w:szCs w:val="16"/>
                <w:lang w:bidi="ar-SA"/>
              </w:rPr>
            </w:pPr>
          </w:p>
        </w:tc>
        <w:tc>
          <w:tcPr>
            <w:tcW w:w="896" w:type="dxa"/>
            <w:vMerge/>
            <w:vAlign w:val="center"/>
          </w:tcPr>
          <w:p w:rsidR="00BE4CF2" w:rsidRPr="001F6D68" w:rsidRDefault="00BE4CF2" w:rsidP="00BE4CF2">
            <w:pPr>
              <w:widowControl/>
              <w:autoSpaceDE/>
              <w:autoSpaceDN/>
              <w:jc w:val="center"/>
              <w:rPr>
                <w:rFonts w:ascii="Arial" w:hAnsi="Arial" w:cs="Arial"/>
                <w:bCs/>
                <w:sz w:val="16"/>
                <w:szCs w:val="16"/>
                <w:lang w:bidi="ar-SA"/>
              </w:rPr>
            </w:pP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Лекции</w:t>
            </w:r>
          </w:p>
        </w:tc>
        <w:tc>
          <w:tcPr>
            <w:tcW w:w="950"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Практ. занятия</w:t>
            </w:r>
          </w:p>
        </w:tc>
        <w:tc>
          <w:tcPr>
            <w:tcW w:w="1460" w:type="dxa"/>
            <w:vMerge/>
            <w:vAlign w:val="center"/>
          </w:tcPr>
          <w:p w:rsidR="00BE4CF2" w:rsidRPr="001F6D68" w:rsidRDefault="00BE4CF2" w:rsidP="00BE4CF2">
            <w:pPr>
              <w:widowControl/>
              <w:autoSpaceDE/>
              <w:autoSpaceDN/>
              <w:jc w:val="center"/>
              <w:rPr>
                <w:rFonts w:ascii="Arial" w:hAnsi="Arial" w:cs="Arial"/>
                <w:bCs/>
                <w:sz w:val="16"/>
                <w:szCs w:val="16"/>
                <w:lang w:bidi="ar-SA"/>
              </w:rPr>
            </w:pP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sz w:val="16"/>
                <w:szCs w:val="16"/>
                <w:lang w:bidi="ar-SA"/>
              </w:rPr>
              <w:t>Основы менеджмента</w:t>
            </w:r>
          </w:p>
        </w:tc>
        <w:tc>
          <w:tcPr>
            <w:tcW w:w="896"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56</w:t>
            </w:r>
          </w:p>
        </w:tc>
        <w:tc>
          <w:tcPr>
            <w:tcW w:w="968"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36</w:t>
            </w: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20</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val="en-US" w:bidi="ar-SA"/>
              </w:rPr>
            </w:pPr>
            <w:r w:rsidRPr="001F6D68">
              <w:rPr>
                <w:rFonts w:ascii="Arial" w:hAnsi="Arial" w:cs="Arial"/>
                <w:bCs/>
                <w:sz w:val="16"/>
                <w:szCs w:val="16"/>
                <w:lang w:bidi="ar-SA"/>
              </w:rPr>
              <w:t>экзамен</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2.</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color w:val="000000"/>
                <w:sz w:val="16"/>
                <w:szCs w:val="16"/>
                <w:lang w:bidi="ar-SA"/>
              </w:rPr>
              <w:t>Экономика и статистика предприятий</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56</w:t>
            </w:r>
          </w:p>
        </w:tc>
        <w:tc>
          <w:tcPr>
            <w:tcW w:w="968"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40</w:t>
            </w:r>
          </w:p>
        </w:tc>
        <w:tc>
          <w:tcPr>
            <w:tcW w:w="950"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16</w:t>
            </w:r>
          </w:p>
        </w:tc>
        <w:tc>
          <w:tcPr>
            <w:tcW w:w="1460" w:type="dxa"/>
            <w:vAlign w:val="center"/>
          </w:tcPr>
          <w:p w:rsidR="00BE4CF2" w:rsidRPr="001F6D68" w:rsidRDefault="00BE4CF2" w:rsidP="00BE4CF2">
            <w:pPr>
              <w:widowControl/>
              <w:autoSpaceDE/>
              <w:autoSpaceDN/>
              <w:jc w:val="center"/>
              <w:rPr>
                <w:rFonts w:ascii="Arial" w:hAnsi="Arial" w:cs="Arial"/>
                <w:sz w:val="16"/>
                <w:szCs w:val="16"/>
                <w:lang w:val="en-US" w:bidi="ar-SA"/>
              </w:rPr>
            </w:pPr>
            <w:r w:rsidRPr="001F6D68">
              <w:rPr>
                <w:rFonts w:ascii="Arial" w:hAnsi="Arial" w:cs="Arial"/>
                <w:bCs/>
                <w:sz w:val="16"/>
                <w:szCs w:val="16"/>
                <w:lang w:bidi="ar-SA"/>
              </w:rPr>
              <w:t>экзамен</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3.</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sz w:val="16"/>
                <w:szCs w:val="16"/>
                <w:lang w:bidi="ar-SA"/>
              </w:rPr>
              <w:t>Маркетинг</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100</w:t>
            </w:r>
          </w:p>
        </w:tc>
        <w:tc>
          <w:tcPr>
            <w:tcW w:w="968"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56</w:t>
            </w:r>
          </w:p>
        </w:tc>
        <w:tc>
          <w:tcPr>
            <w:tcW w:w="950"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44</w:t>
            </w:r>
          </w:p>
        </w:tc>
        <w:tc>
          <w:tcPr>
            <w:tcW w:w="1460" w:type="dxa"/>
            <w:vAlign w:val="center"/>
          </w:tcPr>
          <w:p w:rsidR="00BE4CF2" w:rsidRPr="001F6D68" w:rsidRDefault="00BE4CF2" w:rsidP="00BE4CF2">
            <w:pPr>
              <w:widowControl/>
              <w:autoSpaceDE/>
              <w:autoSpaceDN/>
              <w:jc w:val="center"/>
              <w:rPr>
                <w:rFonts w:ascii="Arial" w:hAnsi="Arial" w:cs="Arial"/>
                <w:sz w:val="16"/>
                <w:szCs w:val="16"/>
                <w:lang w:val="en-US" w:bidi="ar-SA"/>
              </w:rPr>
            </w:pPr>
            <w:r w:rsidRPr="001F6D68">
              <w:rPr>
                <w:rFonts w:ascii="Arial" w:hAnsi="Arial" w:cs="Arial"/>
                <w:bCs/>
                <w:sz w:val="16"/>
                <w:szCs w:val="16"/>
                <w:lang w:bidi="ar-SA"/>
              </w:rPr>
              <w:t>экзамен</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4.</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sz w:val="16"/>
                <w:szCs w:val="16"/>
                <w:lang w:bidi="ar-SA"/>
              </w:rPr>
              <w:t>Стратегический маркетинг(PR)</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56</w:t>
            </w:r>
          </w:p>
        </w:tc>
        <w:tc>
          <w:tcPr>
            <w:tcW w:w="968"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40</w:t>
            </w:r>
          </w:p>
        </w:tc>
        <w:tc>
          <w:tcPr>
            <w:tcW w:w="950"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16</w:t>
            </w:r>
          </w:p>
        </w:tc>
        <w:tc>
          <w:tcPr>
            <w:tcW w:w="1460" w:type="dxa"/>
            <w:vAlign w:val="center"/>
          </w:tcPr>
          <w:p w:rsidR="00BE4CF2" w:rsidRPr="001F6D68" w:rsidRDefault="00BE4CF2" w:rsidP="00BE4CF2">
            <w:pPr>
              <w:widowControl/>
              <w:autoSpaceDE/>
              <w:autoSpaceDN/>
              <w:jc w:val="center"/>
              <w:rPr>
                <w:rFonts w:ascii="Arial" w:hAnsi="Arial" w:cs="Arial"/>
                <w:sz w:val="16"/>
                <w:szCs w:val="16"/>
                <w:lang w:val="en-US" w:bidi="ar-SA"/>
              </w:rPr>
            </w:pPr>
            <w:r w:rsidRPr="001F6D68">
              <w:rPr>
                <w:rFonts w:ascii="Arial" w:hAnsi="Arial" w:cs="Arial"/>
                <w:bCs/>
                <w:sz w:val="16"/>
                <w:szCs w:val="16"/>
                <w:lang w:bidi="ar-SA"/>
              </w:rPr>
              <w:t>экзамен</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val="en-US" w:bidi="ar-SA"/>
              </w:rPr>
            </w:pPr>
            <w:r w:rsidRPr="001F6D68">
              <w:rPr>
                <w:rFonts w:ascii="Arial" w:hAnsi="Arial" w:cs="Arial"/>
                <w:bCs/>
                <w:sz w:val="16"/>
                <w:szCs w:val="16"/>
                <w:lang w:bidi="ar-SA"/>
              </w:rPr>
              <w:t>5.</w:t>
            </w:r>
          </w:p>
        </w:tc>
        <w:tc>
          <w:tcPr>
            <w:tcW w:w="4411" w:type="dxa"/>
            <w:vAlign w:val="center"/>
          </w:tcPr>
          <w:p w:rsidR="00BE4CF2" w:rsidRPr="001F6D68" w:rsidRDefault="00BE4CF2" w:rsidP="00BE4CF2">
            <w:pPr>
              <w:widowControl/>
              <w:autoSpaceDE/>
              <w:autoSpaceDN/>
              <w:rPr>
                <w:rFonts w:ascii="Arial" w:hAnsi="Arial"/>
                <w:bCs/>
                <w:sz w:val="16"/>
                <w:szCs w:val="16"/>
                <w:lang w:bidi="ar-SA"/>
              </w:rPr>
            </w:pPr>
            <w:r w:rsidRPr="001F6D68">
              <w:rPr>
                <w:rFonts w:ascii="Arial" w:hAnsi="Arial"/>
                <w:bCs/>
                <w:sz w:val="16"/>
                <w:szCs w:val="16"/>
                <w:lang w:bidi="ar-SA"/>
              </w:rPr>
              <w:t>Финансы и кредит</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30</w:t>
            </w:r>
          </w:p>
        </w:tc>
        <w:tc>
          <w:tcPr>
            <w:tcW w:w="968"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18</w:t>
            </w:r>
          </w:p>
        </w:tc>
        <w:tc>
          <w:tcPr>
            <w:tcW w:w="950" w:type="dxa"/>
            <w:vAlign w:val="center"/>
          </w:tcPr>
          <w:p w:rsidR="00BE4CF2" w:rsidRPr="001F6D68" w:rsidRDefault="00BE4CF2" w:rsidP="00BE4CF2">
            <w:pPr>
              <w:widowControl/>
              <w:autoSpaceDE/>
              <w:autoSpaceDN/>
              <w:jc w:val="center"/>
              <w:rPr>
                <w:rFonts w:ascii="Arial" w:hAnsi="Arial" w:cs="Arial"/>
                <w:sz w:val="16"/>
                <w:szCs w:val="16"/>
                <w:lang w:bidi="ar-SA"/>
              </w:rPr>
            </w:pPr>
            <w:r w:rsidRPr="001F6D68">
              <w:rPr>
                <w:rFonts w:ascii="Arial" w:hAnsi="Arial" w:cs="Arial"/>
                <w:bCs/>
                <w:sz w:val="16"/>
                <w:szCs w:val="16"/>
                <w:lang w:bidi="ar-SA"/>
              </w:rPr>
              <w:t>12</w:t>
            </w:r>
          </w:p>
        </w:tc>
        <w:tc>
          <w:tcPr>
            <w:tcW w:w="1460" w:type="dxa"/>
            <w:vAlign w:val="center"/>
          </w:tcPr>
          <w:p w:rsidR="00BE4CF2" w:rsidRPr="001F6D68" w:rsidRDefault="00BE4CF2" w:rsidP="00BE4CF2">
            <w:pPr>
              <w:widowControl/>
              <w:autoSpaceDE/>
              <w:autoSpaceDN/>
              <w:jc w:val="center"/>
              <w:rPr>
                <w:rFonts w:ascii="Arial" w:hAnsi="Arial" w:cs="Arial"/>
                <w:sz w:val="16"/>
                <w:szCs w:val="16"/>
                <w:lang w:val="en-US" w:bidi="ar-SA"/>
              </w:rPr>
            </w:pPr>
            <w:r w:rsidRPr="001F6D68">
              <w:rPr>
                <w:rFonts w:ascii="Arial" w:hAnsi="Arial" w:cs="Arial"/>
                <w:bCs/>
                <w:sz w:val="16"/>
                <w:szCs w:val="16"/>
                <w:lang w:bidi="ar-SA"/>
              </w:rPr>
              <w:t>экзамен</w:t>
            </w:r>
          </w:p>
        </w:tc>
      </w:tr>
      <w:tr w:rsidR="00BE4CF2" w:rsidRPr="001F6D68" w:rsidTr="0014698D">
        <w:trPr>
          <w:trHeight w:val="659"/>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6.</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sz w:val="16"/>
                <w:szCs w:val="16"/>
                <w:lang w:bidi="ar-SA"/>
              </w:rPr>
              <w:t>Регулирование и управление рекламной деятельностью</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56</w:t>
            </w: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36</w:t>
            </w: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20</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зачет</w:t>
            </w:r>
          </w:p>
        </w:tc>
      </w:tr>
      <w:tr w:rsidR="00BE4CF2" w:rsidRPr="001F6D68" w:rsidTr="0014698D">
        <w:trPr>
          <w:trHeight w:val="659"/>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7.</w:t>
            </w:r>
          </w:p>
        </w:tc>
        <w:tc>
          <w:tcPr>
            <w:tcW w:w="4411" w:type="dxa"/>
            <w:vAlign w:val="center"/>
          </w:tcPr>
          <w:p w:rsidR="00BE4CF2" w:rsidRPr="001F6D68" w:rsidRDefault="00BE4CF2" w:rsidP="00BE4CF2">
            <w:pPr>
              <w:widowControl/>
              <w:autoSpaceDE/>
              <w:autoSpaceDN/>
              <w:rPr>
                <w:rFonts w:ascii="Arial" w:hAnsi="Arial"/>
                <w:sz w:val="16"/>
                <w:szCs w:val="16"/>
                <w:lang w:bidi="ar-SA"/>
              </w:rPr>
            </w:pPr>
            <w:r w:rsidRPr="001F6D68">
              <w:rPr>
                <w:rFonts w:ascii="Arial" w:hAnsi="Arial"/>
                <w:sz w:val="16"/>
                <w:szCs w:val="16"/>
                <w:lang w:bidi="ar-SA"/>
              </w:rPr>
              <w:t>Конкурентный анализ. Теория и практика конкуренции.</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46</w:t>
            </w: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30</w:t>
            </w: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16</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зачет</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8.</w:t>
            </w:r>
          </w:p>
        </w:tc>
        <w:tc>
          <w:tcPr>
            <w:tcW w:w="4411" w:type="dxa"/>
            <w:vAlign w:val="center"/>
          </w:tcPr>
          <w:p w:rsidR="00BE4CF2" w:rsidRPr="001F6D68" w:rsidRDefault="00BE4CF2" w:rsidP="00BE4CF2">
            <w:pPr>
              <w:widowControl/>
              <w:autoSpaceDE/>
              <w:autoSpaceDN/>
              <w:rPr>
                <w:rFonts w:ascii="Arial" w:hAnsi="Arial"/>
                <w:bCs/>
                <w:color w:val="000000"/>
                <w:sz w:val="16"/>
                <w:szCs w:val="16"/>
                <w:lang w:bidi="ar-SA"/>
              </w:rPr>
            </w:pPr>
            <w:r w:rsidRPr="001F6D68">
              <w:rPr>
                <w:rFonts w:ascii="Arial" w:hAnsi="Arial"/>
                <w:bCs/>
                <w:color w:val="000000"/>
                <w:sz w:val="16"/>
                <w:szCs w:val="16"/>
                <w:lang w:bidi="ar-SA"/>
              </w:rPr>
              <w:t>Организационное поведение</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48</w:t>
            </w: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32</w:t>
            </w: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16</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экзамен</w:t>
            </w:r>
          </w:p>
        </w:tc>
      </w:tr>
      <w:tr w:rsidR="00BE4CF2" w:rsidRPr="001F6D68" w:rsidTr="0014698D">
        <w:trPr>
          <w:trHeight w:val="659"/>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9.</w:t>
            </w:r>
          </w:p>
        </w:tc>
        <w:tc>
          <w:tcPr>
            <w:tcW w:w="4411" w:type="dxa"/>
            <w:vAlign w:val="center"/>
          </w:tcPr>
          <w:p w:rsidR="00BE4CF2" w:rsidRPr="001F6D68" w:rsidRDefault="00BE4CF2" w:rsidP="00BE4CF2">
            <w:pPr>
              <w:widowControl/>
              <w:autoSpaceDE/>
              <w:autoSpaceDN/>
              <w:rPr>
                <w:rFonts w:ascii="Arial" w:hAnsi="Arial"/>
                <w:bCs/>
                <w:color w:val="000000"/>
                <w:sz w:val="16"/>
                <w:szCs w:val="16"/>
                <w:lang w:bidi="ar-SA"/>
              </w:rPr>
            </w:pPr>
            <w:r w:rsidRPr="001F6D68">
              <w:rPr>
                <w:rFonts w:ascii="Arial" w:hAnsi="Arial"/>
                <w:bCs/>
                <w:color w:val="000000"/>
                <w:sz w:val="16"/>
                <w:szCs w:val="16"/>
                <w:lang w:bidi="ar-SA"/>
              </w:rPr>
              <w:t>Основы предпринимательской деятельности</w:t>
            </w:r>
          </w:p>
        </w:tc>
        <w:tc>
          <w:tcPr>
            <w:tcW w:w="896" w:type="dxa"/>
            <w:vAlign w:val="center"/>
          </w:tcPr>
          <w:p w:rsidR="00BE4CF2" w:rsidRPr="001F6D68" w:rsidRDefault="00BE4CF2" w:rsidP="00BE4CF2">
            <w:pPr>
              <w:widowControl/>
              <w:autoSpaceDE/>
              <w:autoSpaceDN/>
              <w:jc w:val="center"/>
              <w:rPr>
                <w:sz w:val="16"/>
                <w:szCs w:val="16"/>
                <w:lang w:bidi="ar-SA"/>
              </w:rPr>
            </w:pPr>
            <w:r w:rsidRPr="001F6D68">
              <w:rPr>
                <w:rFonts w:ascii="Arial" w:hAnsi="Arial" w:cs="Arial"/>
                <w:bCs/>
                <w:sz w:val="16"/>
                <w:szCs w:val="16"/>
                <w:lang w:bidi="ar-SA"/>
              </w:rPr>
              <w:t>48</w:t>
            </w: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28</w:t>
            </w: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20</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зачет</w:t>
            </w:r>
          </w:p>
        </w:tc>
      </w:tr>
      <w:tr w:rsidR="00BE4CF2" w:rsidRPr="001F6D68" w:rsidTr="0014698D">
        <w:trPr>
          <w:trHeight w:val="659"/>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10.</w:t>
            </w:r>
          </w:p>
        </w:tc>
        <w:tc>
          <w:tcPr>
            <w:tcW w:w="4411" w:type="dxa"/>
            <w:vAlign w:val="center"/>
          </w:tcPr>
          <w:p w:rsidR="00BE4CF2" w:rsidRPr="001F6D68" w:rsidRDefault="00BE4CF2" w:rsidP="00BE4CF2">
            <w:pPr>
              <w:widowControl/>
              <w:autoSpaceDE/>
              <w:autoSpaceDN/>
              <w:rPr>
                <w:rFonts w:ascii="Arial" w:hAnsi="Arial"/>
                <w:bCs/>
                <w:color w:val="000000"/>
                <w:sz w:val="16"/>
                <w:szCs w:val="16"/>
                <w:lang w:bidi="ar-SA"/>
              </w:rPr>
            </w:pPr>
            <w:r w:rsidRPr="001F6D68">
              <w:rPr>
                <w:rFonts w:ascii="Arial" w:hAnsi="Arial"/>
                <w:bCs/>
                <w:color w:val="000000"/>
                <w:sz w:val="16"/>
                <w:szCs w:val="16"/>
                <w:lang w:bidi="ar-SA"/>
              </w:rPr>
              <w:t>Выпускная аттестационная работа</w:t>
            </w:r>
          </w:p>
        </w:tc>
        <w:tc>
          <w:tcPr>
            <w:tcW w:w="896"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10</w:t>
            </w:r>
          </w:p>
        </w:tc>
        <w:tc>
          <w:tcPr>
            <w:tcW w:w="968" w:type="dxa"/>
            <w:vAlign w:val="center"/>
          </w:tcPr>
          <w:p w:rsidR="00BE4CF2" w:rsidRPr="001F6D68" w:rsidRDefault="00BE4CF2" w:rsidP="00BE4CF2">
            <w:pPr>
              <w:widowControl/>
              <w:autoSpaceDE/>
              <w:autoSpaceDN/>
              <w:jc w:val="center"/>
              <w:rPr>
                <w:rFonts w:ascii="Arial" w:hAnsi="Arial" w:cs="Arial"/>
                <w:bCs/>
                <w:sz w:val="16"/>
                <w:szCs w:val="16"/>
                <w:lang w:bidi="ar-SA"/>
              </w:rPr>
            </w:pPr>
          </w:p>
        </w:tc>
        <w:tc>
          <w:tcPr>
            <w:tcW w:w="95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10</w:t>
            </w:r>
          </w:p>
        </w:tc>
        <w:tc>
          <w:tcPr>
            <w:tcW w:w="1460" w:type="dxa"/>
            <w:vAlign w:val="center"/>
          </w:tcPr>
          <w:p w:rsidR="00BE4CF2" w:rsidRPr="001F6D68" w:rsidRDefault="00BE4CF2" w:rsidP="00BE4CF2">
            <w:pPr>
              <w:widowControl/>
              <w:autoSpaceDE/>
              <w:autoSpaceDN/>
              <w:jc w:val="center"/>
              <w:rPr>
                <w:rFonts w:ascii="Arial" w:hAnsi="Arial" w:cs="Arial"/>
                <w:bCs/>
                <w:sz w:val="16"/>
                <w:szCs w:val="16"/>
                <w:lang w:bidi="ar-SA"/>
              </w:rPr>
            </w:pPr>
            <w:r w:rsidRPr="001F6D68">
              <w:rPr>
                <w:rFonts w:ascii="Arial" w:hAnsi="Arial" w:cs="Arial"/>
                <w:bCs/>
                <w:sz w:val="16"/>
                <w:szCs w:val="16"/>
                <w:lang w:bidi="ar-SA"/>
              </w:rPr>
              <w:t>комиссия</w:t>
            </w:r>
          </w:p>
        </w:tc>
      </w:tr>
      <w:tr w:rsidR="00BE4CF2" w:rsidRPr="001F6D68" w:rsidTr="0014698D">
        <w:trPr>
          <w:trHeight w:val="567"/>
        </w:trPr>
        <w:tc>
          <w:tcPr>
            <w:tcW w:w="495" w:type="dxa"/>
            <w:vAlign w:val="center"/>
          </w:tcPr>
          <w:p w:rsidR="00BE4CF2" w:rsidRPr="001F6D68" w:rsidRDefault="00BE4CF2" w:rsidP="00BE4CF2">
            <w:pPr>
              <w:widowControl/>
              <w:autoSpaceDE/>
              <w:autoSpaceDN/>
              <w:jc w:val="center"/>
              <w:rPr>
                <w:rFonts w:ascii="Arial" w:hAnsi="Arial" w:cs="Arial"/>
                <w:bCs/>
                <w:sz w:val="16"/>
                <w:szCs w:val="16"/>
                <w:lang w:bidi="ar-SA"/>
              </w:rPr>
            </w:pPr>
          </w:p>
        </w:tc>
        <w:tc>
          <w:tcPr>
            <w:tcW w:w="4411" w:type="dxa"/>
            <w:vAlign w:val="center"/>
          </w:tcPr>
          <w:p w:rsidR="00BE4CF2" w:rsidRPr="001F6D68" w:rsidRDefault="00BE4CF2" w:rsidP="00BE4CF2">
            <w:pPr>
              <w:widowControl/>
              <w:autoSpaceDE/>
              <w:autoSpaceDN/>
              <w:jc w:val="right"/>
              <w:rPr>
                <w:rFonts w:ascii="Arial" w:hAnsi="Arial" w:cs="Arial"/>
                <w:b/>
                <w:bCs/>
                <w:i/>
                <w:sz w:val="16"/>
                <w:szCs w:val="16"/>
                <w:lang w:bidi="ar-SA"/>
              </w:rPr>
            </w:pPr>
            <w:r w:rsidRPr="001F6D68">
              <w:rPr>
                <w:rFonts w:ascii="Arial" w:hAnsi="Arial" w:cs="Arial"/>
                <w:b/>
                <w:bCs/>
                <w:i/>
                <w:sz w:val="16"/>
                <w:szCs w:val="16"/>
                <w:lang w:bidi="ar-SA"/>
              </w:rPr>
              <w:t>ИТОГО</w:t>
            </w:r>
          </w:p>
        </w:tc>
        <w:tc>
          <w:tcPr>
            <w:tcW w:w="896" w:type="dxa"/>
            <w:vAlign w:val="center"/>
          </w:tcPr>
          <w:p w:rsidR="00BE4CF2" w:rsidRPr="001F6D68" w:rsidRDefault="00BE4CF2" w:rsidP="00BE4CF2">
            <w:pPr>
              <w:widowControl/>
              <w:autoSpaceDE/>
              <w:autoSpaceDN/>
              <w:jc w:val="center"/>
              <w:rPr>
                <w:rFonts w:ascii="Arial" w:hAnsi="Arial" w:cs="Arial"/>
                <w:b/>
                <w:bCs/>
                <w:i/>
                <w:sz w:val="16"/>
                <w:szCs w:val="16"/>
                <w:lang w:bidi="ar-SA"/>
              </w:rPr>
            </w:pPr>
            <w:r w:rsidRPr="001F6D68">
              <w:rPr>
                <w:rFonts w:ascii="Arial" w:hAnsi="Arial" w:cs="Arial"/>
                <w:b/>
                <w:bCs/>
                <w:i/>
                <w:sz w:val="16"/>
                <w:szCs w:val="16"/>
                <w:lang w:bidi="ar-SA"/>
              </w:rPr>
              <w:fldChar w:fldCharType="begin"/>
            </w:r>
            <w:r w:rsidRPr="001F6D68">
              <w:rPr>
                <w:rFonts w:ascii="Arial" w:hAnsi="Arial" w:cs="Arial"/>
                <w:b/>
                <w:bCs/>
                <w:i/>
                <w:sz w:val="16"/>
                <w:szCs w:val="16"/>
                <w:lang w:bidi="ar-SA"/>
              </w:rPr>
              <w:instrText xml:space="preserve"> =SUM(ABOVE) </w:instrText>
            </w:r>
            <w:r w:rsidRPr="001F6D68">
              <w:rPr>
                <w:rFonts w:ascii="Arial" w:hAnsi="Arial" w:cs="Arial"/>
                <w:b/>
                <w:bCs/>
                <w:i/>
                <w:sz w:val="16"/>
                <w:szCs w:val="16"/>
                <w:lang w:bidi="ar-SA"/>
              </w:rPr>
              <w:fldChar w:fldCharType="end"/>
            </w:r>
            <w:r w:rsidRPr="001F6D68">
              <w:rPr>
                <w:rFonts w:ascii="Arial" w:hAnsi="Arial" w:cs="Arial"/>
                <w:b/>
                <w:bCs/>
                <w:i/>
                <w:sz w:val="16"/>
                <w:szCs w:val="16"/>
                <w:lang w:bidi="ar-SA"/>
              </w:rPr>
              <w:t>506</w:t>
            </w:r>
          </w:p>
        </w:tc>
        <w:tc>
          <w:tcPr>
            <w:tcW w:w="968" w:type="dxa"/>
            <w:vAlign w:val="center"/>
          </w:tcPr>
          <w:p w:rsidR="00BE4CF2" w:rsidRPr="001F6D68" w:rsidRDefault="00BE4CF2" w:rsidP="00BE4CF2">
            <w:pPr>
              <w:widowControl/>
              <w:autoSpaceDE/>
              <w:autoSpaceDN/>
              <w:jc w:val="center"/>
              <w:rPr>
                <w:rFonts w:ascii="Arial" w:hAnsi="Arial" w:cs="Arial"/>
                <w:b/>
                <w:bCs/>
                <w:i/>
                <w:sz w:val="16"/>
                <w:szCs w:val="16"/>
                <w:lang w:bidi="ar-SA"/>
              </w:rPr>
            </w:pPr>
            <w:r w:rsidRPr="001F6D68">
              <w:rPr>
                <w:rFonts w:ascii="Arial" w:hAnsi="Arial" w:cs="Arial"/>
                <w:b/>
                <w:bCs/>
                <w:i/>
                <w:sz w:val="16"/>
                <w:szCs w:val="16"/>
                <w:lang w:bidi="ar-SA"/>
              </w:rPr>
              <w:t>316</w:t>
            </w:r>
          </w:p>
        </w:tc>
        <w:tc>
          <w:tcPr>
            <w:tcW w:w="950" w:type="dxa"/>
            <w:vAlign w:val="center"/>
          </w:tcPr>
          <w:p w:rsidR="00BE4CF2" w:rsidRPr="001F6D68" w:rsidRDefault="00BE4CF2" w:rsidP="00BE4CF2">
            <w:pPr>
              <w:widowControl/>
              <w:autoSpaceDE/>
              <w:autoSpaceDN/>
              <w:jc w:val="center"/>
              <w:rPr>
                <w:rFonts w:ascii="Arial" w:hAnsi="Arial" w:cs="Arial"/>
                <w:b/>
                <w:bCs/>
                <w:i/>
                <w:sz w:val="16"/>
                <w:szCs w:val="16"/>
                <w:lang w:bidi="ar-SA"/>
              </w:rPr>
            </w:pPr>
            <w:r w:rsidRPr="001F6D68">
              <w:rPr>
                <w:rFonts w:ascii="Arial" w:hAnsi="Arial" w:cs="Arial"/>
                <w:b/>
                <w:bCs/>
                <w:i/>
                <w:sz w:val="16"/>
                <w:szCs w:val="16"/>
                <w:lang w:bidi="ar-SA"/>
              </w:rPr>
              <w:t>190</w:t>
            </w:r>
          </w:p>
        </w:tc>
        <w:tc>
          <w:tcPr>
            <w:tcW w:w="1460" w:type="dxa"/>
            <w:vAlign w:val="center"/>
          </w:tcPr>
          <w:p w:rsidR="00BE4CF2" w:rsidRPr="001F6D68" w:rsidRDefault="00BE4CF2" w:rsidP="00BE4CF2">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FC2AB4">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FC2AB4">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FC2AB4">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FC2AB4">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C2AB4">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C2AB4">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C2AB4">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C2AB4">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C2AB4">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F6D68"/>
    <w:rsid w:val="002463FD"/>
    <w:rsid w:val="00253CBC"/>
    <w:rsid w:val="003D31A1"/>
    <w:rsid w:val="00402F9C"/>
    <w:rsid w:val="005047CF"/>
    <w:rsid w:val="005C542A"/>
    <w:rsid w:val="00764087"/>
    <w:rsid w:val="00BE4CF2"/>
    <w:rsid w:val="00D07D22"/>
    <w:rsid w:val="00D63ECA"/>
    <w:rsid w:val="00E31367"/>
    <w:rsid w:val="00EB278C"/>
    <w:rsid w:val="00FC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830279A-460B-460A-8980-84564D96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