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260D5D">
        <w:rPr>
          <w:b/>
          <w:sz w:val="20"/>
        </w:rPr>
        <w:t>«Контрактная система в сфере закупок товаров, работ и услуг для обеспечения государственных и муниципальных нужд»</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945809">
        <w:rPr>
          <w:sz w:val="20"/>
        </w:rPr>
        <w:t>270</w:t>
      </w:r>
      <w:r w:rsidR="00D07D22">
        <w:rPr>
          <w:sz w:val="20"/>
        </w:rPr>
        <w:t xml:space="preserve"> часов</w:t>
      </w:r>
      <w:r>
        <w:rPr>
          <w:sz w:val="20"/>
        </w:rPr>
        <w:t>, срок освоения образовательной программы (продолжительность обучения) -</w:t>
      </w:r>
      <w:r w:rsidR="00945809">
        <w:rPr>
          <w:sz w:val="20"/>
        </w:rPr>
        <w:t xml:space="preserve"> 4 месяца</w:t>
      </w:r>
      <w:r w:rsidR="00945809" w:rsidRPr="00945809">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99" w:type="dxa"/>
        <w:tblInd w:w="-320" w:type="dxa"/>
        <w:tblLayout w:type="fixed"/>
        <w:tblCellMar>
          <w:left w:w="40" w:type="dxa"/>
          <w:right w:w="40" w:type="dxa"/>
        </w:tblCellMar>
        <w:tblLook w:val="04A0" w:firstRow="1" w:lastRow="0" w:firstColumn="1" w:lastColumn="0" w:noHBand="0" w:noVBand="1"/>
      </w:tblPr>
      <w:tblGrid>
        <w:gridCol w:w="644"/>
        <w:gridCol w:w="4936"/>
        <w:gridCol w:w="1080"/>
        <w:gridCol w:w="900"/>
        <w:gridCol w:w="1022"/>
        <w:gridCol w:w="1417"/>
      </w:tblGrid>
      <w:tr w:rsidR="00260D5D" w:rsidRPr="00260D5D" w:rsidTr="0045717F">
        <w:trPr>
          <w:trHeight w:val="435"/>
        </w:trPr>
        <w:tc>
          <w:tcPr>
            <w:tcW w:w="644" w:type="dxa"/>
            <w:vMerge w:val="restart"/>
            <w:tcBorders>
              <w:top w:val="single" w:sz="6"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shd w:val="clear" w:color="auto" w:fill="FFFFFF"/>
              <w:autoSpaceDE/>
              <w:autoSpaceDN/>
              <w:spacing w:line="259" w:lineRule="exact"/>
              <w:ind w:firstLine="36"/>
              <w:rPr>
                <w:sz w:val="16"/>
                <w:szCs w:val="16"/>
                <w:lang w:eastAsia="en-US" w:bidi="ar-SA"/>
              </w:rPr>
            </w:pPr>
            <w:r w:rsidRPr="00260D5D">
              <w:rPr>
                <w:bCs/>
                <w:color w:val="000000"/>
                <w:sz w:val="16"/>
                <w:szCs w:val="16"/>
                <w:lang w:eastAsia="en-US" w:bidi="ar-SA"/>
              </w:rPr>
              <w:t xml:space="preserve">№ </w:t>
            </w:r>
            <w:r w:rsidRPr="00260D5D">
              <w:rPr>
                <w:bCs/>
                <w:color w:val="000000"/>
                <w:spacing w:val="-11"/>
                <w:sz w:val="16"/>
                <w:szCs w:val="16"/>
                <w:lang w:eastAsia="en-US" w:bidi="ar-SA"/>
              </w:rPr>
              <w:t>п/п</w:t>
            </w:r>
          </w:p>
        </w:tc>
        <w:tc>
          <w:tcPr>
            <w:tcW w:w="4936" w:type="dxa"/>
            <w:vMerge w:val="restart"/>
            <w:tcBorders>
              <w:top w:val="single" w:sz="6"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shd w:val="clear" w:color="auto" w:fill="FFFFFF"/>
              <w:autoSpaceDE/>
              <w:autoSpaceDN/>
              <w:ind w:firstLine="357"/>
              <w:rPr>
                <w:sz w:val="16"/>
                <w:szCs w:val="16"/>
                <w:lang w:eastAsia="en-US" w:bidi="ar-SA"/>
              </w:rPr>
            </w:pPr>
            <w:r w:rsidRPr="00260D5D">
              <w:rPr>
                <w:bCs/>
                <w:color w:val="000000"/>
                <w:spacing w:val="-1"/>
                <w:sz w:val="16"/>
                <w:szCs w:val="16"/>
                <w:lang w:eastAsia="en-US" w:bidi="ar-SA"/>
              </w:rPr>
              <w:t>Наименование разделов и тем</w:t>
            </w:r>
          </w:p>
        </w:tc>
        <w:tc>
          <w:tcPr>
            <w:tcW w:w="1080" w:type="dxa"/>
            <w:vMerge w:val="restart"/>
            <w:tcBorders>
              <w:top w:val="single" w:sz="6"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autoSpaceDE/>
              <w:autoSpaceDN/>
              <w:ind w:firstLine="357"/>
              <w:rPr>
                <w:bCs/>
                <w:sz w:val="16"/>
                <w:szCs w:val="16"/>
                <w:lang w:eastAsia="en-US" w:bidi="ar-SA"/>
              </w:rPr>
            </w:pPr>
            <w:r w:rsidRPr="00260D5D">
              <w:rPr>
                <w:bCs/>
                <w:sz w:val="16"/>
                <w:szCs w:val="16"/>
                <w:lang w:eastAsia="en-US" w:bidi="ar-SA"/>
              </w:rPr>
              <w:t>Всего, час</w:t>
            </w:r>
          </w:p>
        </w:tc>
        <w:tc>
          <w:tcPr>
            <w:tcW w:w="1922"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260D5D" w:rsidRPr="00260D5D" w:rsidRDefault="00260D5D" w:rsidP="00260D5D">
            <w:pPr>
              <w:widowControl/>
              <w:autoSpaceDE/>
              <w:autoSpaceDN/>
              <w:ind w:firstLine="357"/>
              <w:rPr>
                <w:bCs/>
                <w:sz w:val="16"/>
                <w:szCs w:val="16"/>
                <w:lang w:eastAsia="en-US" w:bidi="ar-SA"/>
              </w:rPr>
            </w:pPr>
            <w:r w:rsidRPr="00260D5D">
              <w:rPr>
                <w:sz w:val="16"/>
                <w:szCs w:val="16"/>
                <w:lang w:eastAsia="en-US" w:bidi="ar-SA"/>
              </w:rPr>
              <w:t>В том числе</w:t>
            </w:r>
          </w:p>
        </w:tc>
        <w:tc>
          <w:tcPr>
            <w:tcW w:w="1417" w:type="dxa"/>
            <w:vMerge w:val="restart"/>
            <w:tcBorders>
              <w:top w:val="single" w:sz="6"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autoSpaceDE/>
              <w:autoSpaceDN/>
              <w:ind w:left="102"/>
              <w:jc w:val="center"/>
              <w:rPr>
                <w:bCs/>
                <w:sz w:val="16"/>
                <w:szCs w:val="16"/>
                <w:lang w:eastAsia="en-US" w:bidi="ar-SA"/>
              </w:rPr>
            </w:pPr>
            <w:r w:rsidRPr="00260D5D">
              <w:rPr>
                <w:bCs/>
                <w:sz w:val="16"/>
                <w:szCs w:val="16"/>
                <w:lang w:eastAsia="en-US" w:bidi="ar-SA"/>
              </w:rPr>
              <w:t>Форма контроля</w:t>
            </w:r>
          </w:p>
        </w:tc>
      </w:tr>
      <w:tr w:rsidR="00260D5D" w:rsidRPr="00260D5D" w:rsidTr="00260D5D">
        <w:trPr>
          <w:trHeight w:val="404"/>
        </w:trPr>
        <w:tc>
          <w:tcPr>
            <w:tcW w:w="644" w:type="dxa"/>
            <w:vMerge/>
            <w:tcBorders>
              <w:top w:val="single" w:sz="6" w:space="0" w:color="auto"/>
              <w:left w:val="single" w:sz="6" w:space="0" w:color="auto"/>
              <w:bottom w:val="nil"/>
              <w:right w:val="single" w:sz="6" w:space="0" w:color="auto"/>
            </w:tcBorders>
            <w:vAlign w:val="center"/>
            <w:hideMark/>
          </w:tcPr>
          <w:p w:rsidR="00260D5D" w:rsidRPr="00260D5D" w:rsidRDefault="00260D5D" w:rsidP="00260D5D">
            <w:pPr>
              <w:widowControl/>
              <w:autoSpaceDE/>
              <w:autoSpaceDN/>
              <w:ind w:firstLine="357"/>
              <w:rPr>
                <w:sz w:val="16"/>
                <w:szCs w:val="16"/>
                <w:lang w:eastAsia="en-US" w:bidi="ar-SA"/>
              </w:rPr>
            </w:pPr>
          </w:p>
        </w:tc>
        <w:tc>
          <w:tcPr>
            <w:tcW w:w="4936" w:type="dxa"/>
            <w:vMerge/>
            <w:tcBorders>
              <w:top w:val="single" w:sz="6" w:space="0" w:color="auto"/>
              <w:left w:val="single" w:sz="6" w:space="0" w:color="auto"/>
              <w:bottom w:val="nil"/>
              <w:right w:val="single" w:sz="6" w:space="0" w:color="auto"/>
            </w:tcBorders>
            <w:vAlign w:val="center"/>
            <w:hideMark/>
          </w:tcPr>
          <w:p w:rsidR="00260D5D" w:rsidRPr="00260D5D" w:rsidRDefault="00260D5D" w:rsidP="00260D5D">
            <w:pPr>
              <w:widowControl/>
              <w:autoSpaceDE/>
              <w:autoSpaceDN/>
              <w:ind w:firstLine="357"/>
              <w:rPr>
                <w:sz w:val="16"/>
                <w:szCs w:val="16"/>
                <w:lang w:eastAsia="en-US" w:bidi="ar-SA"/>
              </w:rPr>
            </w:pPr>
          </w:p>
        </w:tc>
        <w:tc>
          <w:tcPr>
            <w:tcW w:w="1080" w:type="dxa"/>
            <w:vMerge/>
            <w:tcBorders>
              <w:top w:val="single" w:sz="6" w:space="0" w:color="auto"/>
              <w:left w:val="single" w:sz="6" w:space="0" w:color="auto"/>
              <w:bottom w:val="nil"/>
              <w:right w:val="single" w:sz="6" w:space="0" w:color="auto"/>
            </w:tcBorders>
            <w:vAlign w:val="center"/>
            <w:hideMark/>
          </w:tcPr>
          <w:p w:rsidR="00260D5D" w:rsidRPr="00260D5D" w:rsidRDefault="00260D5D" w:rsidP="00260D5D">
            <w:pPr>
              <w:widowControl/>
              <w:autoSpaceDE/>
              <w:autoSpaceDN/>
              <w:ind w:firstLine="357"/>
              <w:rPr>
                <w:bCs/>
                <w:sz w:val="16"/>
                <w:szCs w:val="16"/>
                <w:lang w:eastAsia="en-US" w:bidi="ar-SA"/>
              </w:rPr>
            </w:pPr>
          </w:p>
        </w:tc>
        <w:tc>
          <w:tcPr>
            <w:tcW w:w="900" w:type="dxa"/>
            <w:tcBorders>
              <w:top w:val="single" w:sz="4"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autoSpaceDE/>
              <w:autoSpaceDN/>
              <w:ind w:firstLine="39"/>
              <w:jc w:val="center"/>
              <w:rPr>
                <w:bCs/>
                <w:sz w:val="16"/>
                <w:szCs w:val="16"/>
                <w:lang w:eastAsia="en-US" w:bidi="ar-SA"/>
              </w:rPr>
            </w:pPr>
            <w:proofErr w:type="spellStart"/>
            <w:r w:rsidRPr="00260D5D">
              <w:rPr>
                <w:bCs/>
                <w:sz w:val="16"/>
                <w:szCs w:val="16"/>
                <w:lang w:val="en-US" w:eastAsia="en-US" w:bidi="ar-SA"/>
              </w:rPr>
              <w:t>Лекции</w:t>
            </w:r>
            <w:proofErr w:type="spellEnd"/>
          </w:p>
        </w:tc>
        <w:tc>
          <w:tcPr>
            <w:tcW w:w="1022" w:type="dxa"/>
            <w:tcBorders>
              <w:top w:val="single" w:sz="4" w:space="0" w:color="auto"/>
              <w:left w:val="single" w:sz="6" w:space="0" w:color="auto"/>
              <w:bottom w:val="nil"/>
              <w:right w:val="single" w:sz="6" w:space="0" w:color="auto"/>
            </w:tcBorders>
            <w:shd w:val="clear" w:color="auto" w:fill="FFFFFF"/>
            <w:vAlign w:val="center"/>
            <w:hideMark/>
          </w:tcPr>
          <w:p w:rsidR="00260D5D" w:rsidRPr="00260D5D" w:rsidRDefault="00260D5D" w:rsidP="00260D5D">
            <w:pPr>
              <w:widowControl/>
              <w:autoSpaceDE/>
              <w:autoSpaceDN/>
              <w:jc w:val="center"/>
              <w:rPr>
                <w:bCs/>
                <w:sz w:val="16"/>
                <w:szCs w:val="16"/>
                <w:lang w:eastAsia="en-US" w:bidi="ar-SA"/>
              </w:rPr>
            </w:pPr>
            <w:proofErr w:type="spellStart"/>
            <w:r w:rsidRPr="00260D5D">
              <w:rPr>
                <w:bCs/>
                <w:sz w:val="16"/>
                <w:szCs w:val="16"/>
                <w:lang w:eastAsia="en-US" w:bidi="ar-SA"/>
              </w:rPr>
              <w:t>Практ</w:t>
            </w:r>
            <w:proofErr w:type="spellEnd"/>
            <w:r w:rsidRPr="00260D5D">
              <w:rPr>
                <w:bCs/>
                <w:sz w:val="16"/>
                <w:szCs w:val="16"/>
                <w:lang w:eastAsia="en-US" w:bidi="ar-SA"/>
              </w:rPr>
              <w:t>. занятия</w:t>
            </w:r>
          </w:p>
        </w:tc>
        <w:tc>
          <w:tcPr>
            <w:tcW w:w="1417" w:type="dxa"/>
            <w:vMerge/>
            <w:tcBorders>
              <w:top w:val="single" w:sz="6" w:space="0" w:color="auto"/>
              <w:left w:val="single" w:sz="6" w:space="0" w:color="auto"/>
              <w:bottom w:val="nil"/>
              <w:right w:val="single" w:sz="6" w:space="0" w:color="auto"/>
            </w:tcBorders>
            <w:vAlign w:val="center"/>
            <w:hideMark/>
          </w:tcPr>
          <w:p w:rsidR="00260D5D" w:rsidRPr="00260D5D" w:rsidRDefault="00260D5D" w:rsidP="00260D5D">
            <w:pPr>
              <w:widowControl/>
              <w:autoSpaceDE/>
              <w:autoSpaceDN/>
              <w:ind w:firstLine="357"/>
              <w:rPr>
                <w:bCs/>
                <w:sz w:val="16"/>
                <w:szCs w:val="16"/>
                <w:lang w:eastAsia="en-US" w:bidi="ar-SA"/>
              </w:rPr>
            </w:pPr>
          </w:p>
        </w:tc>
      </w:tr>
      <w:tr w:rsidR="00260D5D" w:rsidRPr="00260D5D" w:rsidTr="0045717F">
        <w:trPr>
          <w:trHeight w:hRule="exact" w:val="475"/>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1.</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bCs/>
                <w:sz w:val="16"/>
                <w:szCs w:val="16"/>
                <w:lang w:eastAsia="en-US" w:bidi="ar-SA"/>
              </w:rPr>
              <w:t>Основы бухгалтерского учета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bCs/>
                <w:sz w:val="16"/>
                <w:szCs w:val="16"/>
                <w:lang w:eastAsia="en-US" w:bidi="ar-SA"/>
              </w:rPr>
            </w:pPr>
            <w:r w:rsidRPr="00260D5D">
              <w:rPr>
                <w:bCs/>
                <w:sz w:val="16"/>
                <w:szCs w:val="16"/>
                <w:lang w:eastAsia="en-US" w:bidi="ar-S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8</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зачет</w:t>
            </w:r>
          </w:p>
        </w:tc>
      </w:tr>
      <w:tr w:rsidR="00260D5D" w:rsidRPr="00260D5D" w:rsidTr="0045717F">
        <w:trPr>
          <w:trHeight w:hRule="exact" w:val="538"/>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2.</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bCs/>
                <w:sz w:val="16"/>
                <w:szCs w:val="16"/>
                <w:lang w:eastAsia="en-US" w:bidi="ar-SA"/>
              </w:rPr>
              <w:t>Основы менеджмента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8</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зачет</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3.</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Основы контрактной системы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2</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зачет</w:t>
            </w:r>
          </w:p>
        </w:tc>
      </w:tr>
      <w:tr w:rsidR="00260D5D" w:rsidRPr="00260D5D" w:rsidTr="0045717F">
        <w:trPr>
          <w:trHeight w:hRule="exact" w:val="766"/>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4.</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Законодательство Российской Федерации о контрактной системе в сфере закупок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20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12</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экзамен</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5.</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Планирование и обоснование закупок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30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14</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экзамен</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6.</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Осуществление закупок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90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60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30</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экзамен</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7.</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Контракты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20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10</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экзамен</w:t>
            </w:r>
          </w:p>
        </w:tc>
      </w:tr>
      <w:tr w:rsidR="00260D5D" w:rsidRPr="00260D5D" w:rsidTr="0045717F">
        <w:trPr>
          <w:trHeight w:hRule="exact" w:val="658"/>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8.</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sz w:val="16"/>
                <w:szCs w:val="16"/>
                <w:lang w:eastAsia="en-US" w:bidi="ar-SA"/>
              </w:rPr>
              <w:t>Мониторинг, контроль, аудит и зашита прав и интересов участников закупок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6</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экзамен</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9.</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bCs/>
                <w:sz w:val="16"/>
                <w:szCs w:val="16"/>
                <w:lang w:eastAsia="en-US" w:bidi="ar-SA"/>
              </w:rPr>
              <w:t>Этика делового общения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6</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611"/>
              <w:rPr>
                <w:bCs/>
                <w:sz w:val="16"/>
                <w:szCs w:val="16"/>
                <w:lang w:eastAsia="en-US" w:bidi="ar-SA"/>
              </w:rPr>
            </w:pPr>
            <w:r w:rsidRPr="00260D5D">
              <w:rPr>
                <w:bCs/>
                <w:sz w:val="16"/>
                <w:szCs w:val="16"/>
                <w:lang w:eastAsia="en-US" w:bidi="ar-SA"/>
              </w:rPr>
              <w:t>зачет</w:t>
            </w:r>
          </w:p>
        </w:tc>
      </w:tr>
      <w:tr w:rsidR="00260D5D" w:rsidRPr="00260D5D" w:rsidTr="0045717F">
        <w:trPr>
          <w:trHeight w:hRule="exact" w:val="53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6"/>
              <w:jc w:val="center"/>
              <w:rPr>
                <w:bCs/>
                <w:sz w:val="16"/>
                <w:szCs w:val="16"/>
                <w:lang w:eastAsia="en-US" w:bidi="ar-SA"/>
              </w:rPr>
            </w:pPr>
            <w:r w:rsidRPr="00260D5D">
              <w:rPr>
                <w:bCs/>
                <w:sz w:val="16"/>
                <w:szCs w:val="16"/>
                <w:lang w:eastAsia="en-US" w:bidi="ar-SA"/>
              </w:rPr>
              <w:t>10.</w:t>
            </w:r>
          </w:p>
        </w:tc>
        <w:tc>
          <w:tcPr>
            <w:tcW w:w="4936"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left="102"/>
              <w:jc w:val="both"/>
              <w:rPr>
                <w:bCs/>
                <w:sz w:val="16"/>
                <w:szCs w:val="16"/>
                <w:lang w:eastAsia="en-US" w:bidi="ar-SA"/>
              </w:rPr>
            </w:pPr>
            <w:r w:rsidRPr="00260D5D">
              <w:rPr>
                <w:bCs/>
                <w:sz w:val="16"/>
                <w:szCs w:val="16"/>
                <w:lang w:eastAsia="en-US" w:bidi="ar-SA"/>
              </w:rPr>
              <w:t>Итоговая аттестация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bCs/>
                <w:sz w:val="16"/>
                <w:szCs w:val="16"/>
                <w:lang w:eastAsia="en-US" w:bidi="ar-SA"/>
              </w:rPr>
            </w:pPr>
            <w:r w:rsidRPr="00260D5D">
              <w:rPr>
                <w:bCs/>
                <w:sz w:val="16"/>
                <w:szCs w:val="16"/>
                <w:lang w:eastAsia="en-US" w:bidi="ar-SA"/>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sz w:val="16"/>
                <w:szCs w:val="16"/>
                <w:lang w:eastAsia="en-US" w:bidi="ar-SA"/>
              </w:rPr>
            </w:pPr>
            <w:r w:rsidRPr="00260D5D">
              <w:rPr>
                <w:sz w:val="16"/>
                <w:szCs w:val="16"/>
                <w:lang w:eastAsia="en-US" w:bidi="ar-SA"/>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260D5D" w:rsidRPr="00260D5D" w:rsidRDefault="00260D5D" w:rsidP="00260D5D">
            <w:pPr>
              <w:widowControl/>
              <w:autoSpaceDE/>
              <w:autoSpaceDN/>
              <w:ind w:left="-1254" w:firstLine="1356"/>
              <w:rPr>
                <w:bCs/>
                <w:sz w:val="16"/>
                <w:szCs w:val="16"/>
                <w:lang w:eastAsia="en-US" w:bidi="ar-SA"/>
              </w:rPr>
            </w:pPr>
            <w:r w:rsidRPr="00260D5D">
              <w:rPr>
                <w:bCs/>
                <w:sz w:val="16"/>
                <w:szCs w:val="16"/>
                <w:lang w:eastAsia="en-US" w:bidi="ar-SA"/>
              </w:rPr>
              <w:t>комиссия</w:t>
            </w:r>
          </w:p>
        </w:tc>
      </w:tr>
      <w:tr w:rsidR="00260D5D" w:rsidRPr="00260D5D" w:rsidTr="0045717F">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57"/>
              <w:jc w:val="right"/>
              <w:rPr>
                <w:b/>
                <w:bCs/>
                <w:i/>
                <w:sz w:val="16"/>
                <w:szCs w:val="16"/>
                <w:lang w:val="en-US" w:eastAsia="en-US" w:bidi="ar-SA"/>
              </w:rPr>
            </w:pPr>
            <w:r w:rsidRPr="00260D5D">
              <w:rPr>
                <w:b/>
                <w:bCs/>
                <w:i/>
                <w:sz w:val="16"/>
                <w:szCs w:val="16"/>
                <w:lang w:eastAsia="en-US"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5D" w:rsidRPr="00260D5D" w:rsidRDefault="00260D5D" w:rsidP="00260D5D">
            <w:pPr>
              <w:widowControl/>
              <w:autoSpaceDE/>
              <w:autoSpaceDN/>
              <w:ind w:firstLine="357"/>
              <w:rPr>
                <w:b/>
                <w:i/>
                <w:sz w:val="16"/>
                <w:szCs w:val="16"/>
                <w:lang w:eastAsia="en-US" w:bidi="ar-SA"/>
              </w:rPr>
            </w:pPr>
            <w:r w:rsidRPr="00260D5D">
              <w:rPr>
                <w:b/>
                <w:bCs/>
                <w:i/>
                <w:sz w:val="16"/>
                <w:szCs w:val="16"/>
                <w:lang w:eastAsia="en-US" w:bidi="ar-SA"/>
              </w:rPr>
              <w:t>270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b/>
                <w:i/>
                <w:sz w:val="16"/>
                <w:szCs w:val="16"/>
                <w:lang w:eastAsia="en-US" w:bidi="ar-SA"/>
              </w:rPr>
            </w:pPr>
            <w:r w:rsidRPr="00260D5D">
              <w:rPr>
                <w:b/>
                <w:i/>
                <w:sz w:val="16"/>
                <w:szCs w:val="16"/>
                <w:lang w:eastAsia="en-US" w:bidi="ar-SA"/>
              </w:rPr>
              <w:t>174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260D5D" w:rsidRPr="00260D5D" w:rsidRDefault="00260D5D" w:rsidP="00260D5D">
            <w:pPr>
              <w:widowControl/>
              <w:autoSpaceDE/>
              <w:autoSpaceDN/>
              <w:ind w:firstLine="357"/>
              <w:rPr>
                <w:b/>
                <w:i/>
                <w:sz w:val="16"/>
                <w:szCs w:val="16"/>
                <w:lang w:eastAsia="en-US" w:bidi="ar-SA"/>
              </w:rPr>
            </w:pPr>
            <w:r w:rsidRPr="00260D5D">
              <w:rPr>
                <w:b/>
                <w:i/>
                <w:sz w:val="16"/>
                <w:szCs w:val="16"/>
                <w:lang w:eastAsia="en-US" w:bidi="ar-SA"/>
              </w:rPr>
              <w:t>96</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260D5D" w:rsidRPr="00260D5D" w:rsidRDefault="00260D5D" w:rsidP="00260D5D">
            <w:pPr>
              <w:widowControl/>
              <w:autoSpaceDE/>
              <w:autoSpaceDN/>
              <w:ind w:left="-1254" w:firstLine="1611"/>
              <w:jc w:val="both"/>
              <w:rPr>
                <w:bCs/>
                <w:sz w:val="16"/>
                <w:szCs w:val="16"/>
                <w:lang w:eastAsia="en-US"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945809">
        <w:rPr>
          <w:b/>
          <w:sz w:val="20"/>
        </w:rPr>
        <w:t>12 000 (Двенадцать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945809">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945809">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945809">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945809">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945809">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945809">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945809">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945809">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945809"/>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