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FF2842">
        <w:rPr>
          <w:sz w:val="20"/>
        </w:rPr>
        <w:t>повышения квалификации</w:t>
      </w:r>
      <w:r>
        <w:rPr>
          <w:sz w:val="20"/>
        </w:rPr>
        <w:t xml:space="preserve"> </w:t>
      </w:r>
      <w:r w:rsidR="00260D5D">
        <w:rPr>
          <w:b/>
          <w:sz w:val="20"/>
        </w:rPr>
        <w:t>«</w:t>
      </w:r>
      <w:r w:rsidR="00FF2842">
        <w:rPr>
          <w:b/>
          <w:sz w:val="20"/>
        </w:rPr>
        <w:t>1С: Торговля и склад</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FF2842">
        <w:rPr>
          <w:sz w:val="20"/>
        </w:rPr>
        <w:t>72 часа</w:t>
      </w:r>
      <w:r>
        <w:rPr>
          <w:sz w:val="20"/>
        </w:rPr>
        <w:t xml:space="preserve"> срок освоения образовательной программы (продолжительность обучения) -</w:t>
      </w:r>
      <w:r w:rsidR="00FF2842">
        <w:rPr>
          <w:sz w:val="20"/>
        </w:rPr>
        <w:t xml:space="preserve"> 1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pPr w:leftFromText="180" w:rightFromText="180" w:vertAnchor="text" w:horzAnchor="margin" w:tblpXSpec="center"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8"/>
        <w:gridCol w:w="5760"/>
        <w:gridCol w:w="1260"/>
        <w:gridCol w:w="1080"/>
        <w:gridCol w:w="1260"/>
      </w:tblGrid>
      <w:tr w:rsidR="00FF2842" w:rsidRPr="00FF2842" w:rsidTr="00783F1F">
        <w:trPr>
          <w:cantSplit/>
          <w:trHeight w:val="276"/>
        </w:trPr>
        <w:tc>
          <w:tcPr>
            <w:tcW w:w="468" w:type="dxa"/>
            <w:vMerge w:val="restart"/>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w:t>
            </w:r>
          </w:p>
        </w:tc>
        <w:tc>
          <w:tcPr>
            <w:tcW w:w="5760" w:type="dxa"/>
            <w:vMerge w:val="restart"/>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Наименование разделов и тем</w:t>
            </w:r>
          </w:p>
        </w:tc>
        <w:tc>
          <w:tcPr>
            <w:tcW w:w="1260" w:type="dxa"/>
            <w:vMerge w:val="restart"/>
            <w:shd w:val="clear" w:color="auto" w:fill="auto"/>
          </w:tcPr>
          <w:p w:rsidR="00FF2842" w:rsidRPr="00FF2842" w:rsidRDefault="00FF2842" w:rsidP="00FF2842">
            <w:pPr>
              <w:widowControl/>
              <w:shd w:val="clear" w:color="auto" w:fill="FFFFFF"/>
              <w:autoSpaceDE/>
              <w:autoSpaceDN/>
              <w:rPr>
                <w:rFonts w:ascii="Arial" w:hAnsi="Arial" w:cs="Arial"/>
                <w:sz w:val="18"/>
                <w:szCs w:val="18"/>
                <w:lang w:bidi="ar-SA"/>
              </w:rPr>
            </w:pPr>
            <w:r w:rsidRPr="00FF2842">
              <w:rPr>
                <w:rFonts w:ascii="Arial" w:hAnsi="Arial" w:cs="Arial"/>
                <w:sz w:val="18"/>
                <w:szCs w:val="18"/>
                <w:lang w:bidi="ar-SA"/>
              </w:rPr>
              <w:t>Всего, час</w:t>
            </w:r>
          </w:p>
        </w:tc>
        <w:tc>
          <w:tcPr>
            <w:tcW w:w="2340" w:type="dxa"/>
            <w:gridSpan w:val="2"/>
            <w:shd w:val="clear" w:color="auto" w:fill="auto"/>
          </w:tcPr>
          <w:p w:rsidR="00FF2842" w:rsidRPr="00FF2842" w:rsidRDefault="00FF2842" w:rsidP="00FF2842">
            <w:pPr>
              <w:widowControl/>
              <w:shd w:val="clear" w:color="auto" w:fill="FFFFFF"/>
              <w:autoSpaceDE/>
              <w:autoSpaceDN/>
              <w:rPr>
                <w:rFonts w:ascii="Arial" w:hAnsi="Arial" w:cs="Arial"/>
                <w:sz w:val="18"/>
                <w:szCs w:val="18"/>
                <w:lang w:bidi="ar-SA"/>
              </w:rPr>
            </w:pPr>
            <w:r w:rsidRPr="00FF2842">
              <w:rPr>
                <w:rFonts w:ascii="Arial" w:hAnsi="Arial" w:cs="Arial"/>
                <w:sz w:val="18"/>
                <w:szCs w:val="18"/>
                <w:lang w:val="en-US" w:bidi="ar-SA"/>
              </w:rPr>
              <w:t xml:space="preserve">В </w:t>
            </w:r>
            <w:r w:rsidRPr="00FF2842">
              <w:rPr>
                <w:rFonts w:ascii="Arial" w:hAnsi="Arial" w:cs="Arial"/>
                <w:sz w:val="18"/>
                <w:szCs w:val="18"/>
                <w:lang w:bidi="ar-SA"/>
              </w:rPr>
              <w:t>том числе</w:t>
            </w:r>
          </w:p>
        </w:tc>
      </w:tr>
      <w:tr w:rsidR="00FF2842" w:rsidRPr="00FF2842" w:rsidTr="00783F1F">
        <w:trPr>
          <w:cantSplit/>
          <w:trHeight w:val="276"/>
        </w:trPr>
        <w:tc>
          <w:tcPr>
            <w:tcW w:w="468" w:type="dxa"/>
            <w:vMerge/>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c>
          <w:tcPr>
            <w:tcW w:w="5760" w:type="dxa"/>
            <w:vMerge/>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c>
          <w:tcPr>
            <w:tcW w:w="1260" w:type="dxa"/>
            <w:vMerge/>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c>
          <w:tcPr>
            <w:tcW w:w="1080" w:type="dxa"/>
            <w:vMerge w:val="restart"/>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cs="Arial"/>
                <w:sz w:val="18"/>
                <w:szCs w:val="18"/>
                <w:lang w:bidi="ar-SA"/>
              </w:rPr>
              <w:t>Лекции</w:t>
            </w:r>
          </w:p>
        </w:tc>
        <w:tc>
          <w:tcPr>
            <w:tcW w:w="1260" w:type="dxa"/>
            <w:vMerge w:val="restart"/>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roofErr w:type="spellStart"/>
            <w:r w:rsidRPr="00FF2842">
              <w:rPr>
                <w:rFonts w:ascii="Arial" w:hAnsi="Arial" w:cs="Arial"/>
                <w:sz w:val="18"/>
                <w:szCs w:val="18"/>
                <w:lang w:bidi="ar-SA"/>
              </w:rPr>
              <w:t>Практ</w:t>
            </w:r>
            <w:proofErr w:type="spellEnd"/>
            <w:r w:rsidRPr="00FF2842">
              <w:rPr>
                <w:rFonts w:ascii="Arial" w:hAnsi="Arial" w:cs="Arial"/>
                <w:sz w:val="18"/>
                <w:szCs w:val="18"/>
                <w:lang w:bidi="ar-SA"/>
              </w:rPr>
              <w:t>. занятия</w:t>
            </w:r>
          </w:p>
        </w:tc>
      </w:tr>
      <w:tr w:rsidR="00FF2842" w:rsidRPr="00FF2842" w:rsidTr="00783F1F">
        <w:trPr>
          <w:cantSplit/>
          <w:trHeight w:val="276"/>
        </w:trPr>
        <w:tc>
          <w:tcPr>
            <w:tcW w:w="468" w:type="dxa"/>
            <w:vMerge/>
            <w:tcBorders>
              <w:bottom w:val="single" w:sz="4" w:space="0" w:color="auto"/>
            </w:tcBorders>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c>
          <w:tcPr>
            <w:tcW w:w="5760" w:type="dxa"/>
            <w:vMerge/>
            <w:tcBorders>
              <w:bottom w:val="single" w:sz="4" w:space="0" w:color="auto"/>
            </w:tcBorders>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c>
          <w:tcPr>
            <w:tcW w:w="1260" w:type="dxa"/>
            <w:vMerge/>
            <w:tcBorders>
              <w:bottom w:val="single" w:sz="4" w:space="0" w:color="auto"/>
            </w:tcBorders>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c>
          <w:tcPr>
            <w:tcW w:w="1080" w:type="dxa"/>
            <w:vMerge/>
            <w:tcBorders>
              <w:bottom w:val="single" w:sz="4" w:space="0" w:color="auto"/>
            </w:tcBorders>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c>
          <w:tcPr>
            <w:tcW w:w="1260" w:type="dxa"/>
            <w:vMerge/>
            <w:tcBorders>
              <w:bottom w:val="single" w:sz="4" w:space="0" w:color="auto"/>
            </w:tcBorders>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
        </w:tc>
      </w:tr>
      <w:tr w:rsidR="00FF2842" w:rsidRPr="00FF2842" w:rsidTr="00783F1F">
        <w:trPr>
          <w:cantSplit/>
          <w:trHeight w:val="287"/>
        </w:trPr>
        <w:tc>
          <w:tcPr>
            <w:tcW w:w="468" w:type="dxa"/>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1.</w:t>
            </w:r>
          </w:p>
        </w:tc>
        <w:tc>
          <w:tcPr>
            <w:tcW w:w="5760" w:type="dxa"/>
            <w:shd w:val="clear" w:color="auto" w:fill="auto"/>
          </w:tcPr>
          <w:p w:rsidR="00FF2842" w:rsidRPr="00FF2842" w:rsidRDefault="00FF2842" w:rsidP="00FF2842">
            <w:pPr>
              <w:widowControl/>
              <w:shd w:val="clear" w:color="auto" w:fill="FFFFFF"/>
              <w:autoSpaceDE/>
              <w:autoSpaceDN/>
              <w:rPr>
                <w:rFonts w:ascii="Arial" w:hAnsi="Arial"/>
                <w:sz w:val="18"/>
                <w:szCs w:val="18"/>
                <w:lang w:bidi="ar-SA"/>
              </w:rPr>
            </w:pPr>
            <w:r w:rsidRPr="00FF2842">
              <w:rPr>
                <w:rFonts w:ascii="Arial" w:hAnsi="Arial"/>
                <w:sz w:val="18"/>
                <w:szCs w:val="18"/>
                <w:lang w:bidi="ar-SA"/>
              </w:rPr>
              <w:t>Знакомство с программой «1С: Торговля и Склад», ее назначение и возможности. Основные сведения о настройке и установке программы.</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10</w:t>
            </w:r>
          </w:p>
        </w:tc>
        <w:tc>
          <w:tcPr>
            <w:tcW w:w="108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3</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7</w:t>
            </w:r>
          </w:p>
        </w:tc>
      </w:tr>
      <w:tr w:rsidR="00FF2842" w:rsidRPr="00FF2842" w:rsidTr="00783F1F">
        <w:trPr>
          <w:cantSplit/>
          <w:trHeight w:val="365"/>
        </w:trPr>
        <w:tc>
          <w:tcPr>
            <w:tcW w:w="468" w:type="dxa"/>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2.</w:t>
            </w:r>
          </w:p>
        </w:tc>
        <w:tc>
          <w:tcPr>
            <w:tcW w:w="5760" w:type="dxa"/>
            <w:shd w:val="clear" w:color="auto" w:fill="auto"/>
          </w:tcPr>
          <w:p w:rsidR="00FF2842" w:rsidRPr="00FF2842" w:rsidRDefault="00FF2842" w:rsidP="00FF2842">
            <w:pPr>
              <w:widowControl/>
              <w:shd w:val="clear" w:color="auto" w:fill="FFFFFF"/>
              <w:autoSpaceDE/>
              <w:autoSpaceDN/>
              <w:rPr>
                <w:rFonts w:ascii="Arial" w:hAnsi="Arial"/>
                <w:i/>
                <w:sz w:val="18"/>
                <w:szCs w:val="18"/>
                <w:lang w:bidi="ar-SA"/>
              </w:rPr>
            </w:pPr>
            <w:r w:rsidRPr="00FF2842">
              <w:rPr>
                <w:rFonts w:ascii="Arial" w:hAnsi="Arial"/>
                <w:sz w:val="18"/>
                <w:szCs w:val="18"/>
                <w:lang w:bidi="ar-SA"/>
              </w:rPr>
              <w:t>Принципы работы с программой. Основные документы.</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10</w:t>
            </w:r>
          </w:p>
        </w:tc>
        <w:tc>
          <w:tcPr>
            <w:tcW w:w="108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3</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7</w:t>
            </w:r>
          </w:p>
        </w:tc>
      </w:tr>
      <w:tr w:rsidR="00FF2842" w:rsidRPr="00FF2842" w:rsidTr="00783F1F">
        <w:trPr>
          <w:cantSplit/>
          <w:trHeight w:val="263"/>
        </w:trPr>
        <w:tc>
          <w:tcPr>
            <w:tcW w:w="468" w:type="dxa"/>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3.</w:t>
            </w:r>
          </w:p>
        </w:tc>
        <w:tc>
          <w:tcPr>
            <w:tcW w:w="5760" w:type="dxa"/>
            <w:shd w:val="clear" w:color="auto" w:fill="auto"/>
          </w:tcPr>
          <w:p w:rsidR="00FF2842" w:rsidRPr="00FF2842" w:rsidRDefault="00FF2842" w:rsidP="00FF2842">
            <w:pPr>
              <w:widowControl/>
              <w:shd w:val="clear" w:color="auto" w:fill="FFFFFF"/>
              <w:autoSpaceDE/>
              <w:autoSpaceDN/>
              <w:rPr>
                <w:rFonts w:ascii="Arial" w:hAnsi="Arial"/>
                <w:sz w:val="18"/>
                <w:szCs w:val="18"/>
                <w:lang w:bidi="ar-SA"/>
              </w:rPr>
            </w:pPr>
            <w:r w:rsidRPr="00FF2842">
              <w:rPr>
                <w:rFonts w:ascii="Arial" w:hAnsi="Arial"/>
                <w:sz w:val="18"/>
                <w:szCs w:val="18"/>
                <w:lang w:bidi="ar-SA"/>
              </w:rPr>
              <w:t>Работа с документами. Использование журналов документов.</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10</w:t>
            </w:r>
          </w:p>
        </w:tc>
        <w:tc>
          <w:tcPr>
            <w:tcW w:w="108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2</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8</w:t>
            </w:r>
          </w:p>
        </w:tc>
      </w:tr>
      <w:tr w:rsidR="00FF2842" w:rsidRPr="00FF2842" w:rsidTr="00783F1F">
        <w:trPr>
          <w:cantSplit/>
          <w:trHeight w:val="232"/>
        </w:trPr>
        <w:tc>
          <w:tcPr>
            <w:tcW w:w="468" w:type="dxa"/>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4.</w:t>
            </w:r>
          </w:p>
        </w:tc>
        <w:tc>
          <w:tcPr>
            <w:tcW w:w="5760" w:type="dxa"/>
            <w:shd w:val="clear" w:color="auto" w:fill="auto"/>
          </w:tcPr>
          <w:p w:rsidR="00FF2842" w:rsidRPr="00FF2842" w:rsidRDefault="00FF2842" w:rsidP="00FF2842">
            <w:pPr>
              <w:widowControl/>
              <w:shd w:val="clear" w:color="auto" w:fill="FFFFFF"/>
              <w:autoSpaceDE/>
              <w:autoSpaceDN/>
              <w:rPr>
                <w:rFonts w:ascii="Arial" w:hAnsi="Arial"/>
                <w:i/>
                <w:sz w:val="18"/>
                <w:szCs w:val="18"/>
                <w:lang w:bidi="ar-SA"/>
              </w:rPr>
            </w:pPr>
            <w:r w:rsidRPr="00FF2842">
              <w:rPr>
                <w:rFonts w:ascii="Arial" w:hAnsi="Arial"/>
                <w:sz w:val="18"/>
                <w:szCs w:val="18"/>
                <w:lang w:bidi="ar-SA"/>
              </w:rPr>
              <w:t>Формирование и использование отчетов в программе «1С: Торговля и Склад»</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12</w:t>
            </w:r>
          </w:p>
        </w:tc>
        <w:tc>
          <w:tcPr>
            <w:tcW w:w="108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6</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6</w:t>
            </w:r>
          </w:p>
        </w:tc>
      </w:tr>
      <w:tr w:rsidR="00FF2842" w:rsidRPr="00FF2842" w:rsidTr="00783F1F">
        <w:trPr>
          <w:cantSplit/>
          <w:trHeight w:val="281"/>
        </w:trPr>
        <w:tc>
          <w:tcPr>
            <w:tcW w:w="468" w:type="dxa"/>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5.</w:t>
            </w:r>
          </w:p>
        </w:tc>
        <w:tc>
          <w:tcPr>
            <w:tcW w:w="5760" w:type="dxa"/>
            <w:shd w:val="clear" w:color="auto" w:fill="auto"/>
          </w:tcPr>
          <w:p w:rsidR="00FF2842" w:rsidRPr="00FF2842" w:rsidRDefault="00FF2842" w:rsidP="00FF2842">
            <w:pPr>
              <w:widowControl/>
              <w:shd w:val="clear" w:color="auto" w:fill="FFFFFF"/>
              <w:autoSpaceDE/>
              <w:autoSpaceDN/>
              <w:rPr>
                <w:rFonts w:ascii="Arial" w:hAnsi="Arial"/>
                <w:sz w:val="18"/>
                <w:szCs w:val="18"/>
                <w:lang w:bidi="ar-SA"/>
              </w:rPr>
            </w:pPr>
            <w:r w:rsidRPr="00FF2842">
              <w:rPr>
                <w:rFonts w:ascii="Arial" w:hAnsi="Arial"/>
                <w:bCs/>
                <w:sz w:val="18"/>
                <w:szCs w:val="18"/>
                <w:lang w:bidi="ar-SA"/>
              </w:rPr>
              <w:t xml:space="preserve">Сервисные функции </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10</w:t>
            </w:r>
          </w:p>
        </w:tc>
        <w:tc>
          <w:tcPr>
            <w:tcW w:w="108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6</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4</w:t>
            </w:r>
          </w:p>
        </w:tc>
      </w:tr>
      <w:tr w:rsidR="00FF2842" w:rsidRPr="00FF2842" w:rsidTr="00783F1F">
        <w:trPr>
          <w:cantSplit/>
          <w:trHeight w:val="238"/>
        </w:trPr>
        <w:tc>
          <w:tcPr>
            <w:tcW w:w="468" w:type="dxa"/>
            <w:tcBorders>
              <w:bottom w:val="single" w:sz="4" w:space="0" w:color="auto"/>
            </w:tcBorders>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6.</w:t>
            </w:r>
          </w:p>
        </w:tc>
        <w:tc>
          <w:tcPr>
            <w:tcW w:w="5760" w:type="dxa"/>
            <w:tcBorders>
              <w:bottom w:val="single" w:sz="4" w:space="0" w:color="auto"/>
            </w:tcBorders>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Учет рабочего времени. Зарплата.</w:t>
            </w:r>
          </w:p>
        </w:tc>
        <w:tc>
          <w:tcPr>
            <w:tcW w:w="1260" w:type="dxa"/>
            <w:tcBorders>
              <w:bottom w:val="single" w:sz="4" w:space="0" w:color="auto"/>
            </w:tcBorders>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10</w:t>
            </w:r>
          </w:p>
        </w:tc>
        <w:tc>
          <w:tcPr>
            <w:tcW w:w="1080" w:type="dxa"/>
            <w:tcBorders>
              <w:bottom w:val="single" w:sz="4" w:space="0" w:color="auto"/>
            </w:tcBorders>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6</w:t>
            </w:r>
          </w:p>
        </w:tc>
        <w:tc>
          <w:tcPr>
            <w:tcW w:w="1260" w:type="dxa"/>
            <w:tcBorders>
              <w:bottom w:val="single" w:sz="4" w:space="0" w:color="auto"/>
            </w:tcBorders>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4</w:t>
            </w:r>
          </w:p>
        </w:tc>
      </w:tr>
      <w:tr w:rsidR="00FF2842" w:rsidRPr="00FF2842" w:rsidTr="00783F1F">
        <w:trPr>
          <w:cantSplit/>
          <w:trHeight w:val="338"/>
        </w:trPr>
        <w:tc>
          <w:tcPr>
            <w:tcW w:w="468" w:type="dxa"/>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7.</w:t>
            </w:r>
          </w:p>
        </w:tc>
        <w:tc>
          <w:tcPr>
            <w:tcW w:w="5760" w:type="dxa"/>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r w:rsidRPr="00FF2842">
              <w:rPr>
                <w:rFonts w:ascii="Arial" w:hAnsi="Arial"/>
                <w:bCs/>
                <w:sz w:val="18"/>
                <w:szCs w:val="18"/>
                <w:lang w:bidi="ar-SA"/>
              </w:rPr>
              <w:t>Отчетность.</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10</w:t>
            </w:r>
          </w:p>
        </w:tc>
        <w:tc>
          <w:tcPr>
            <w:tcW w:w="108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6</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4</w:t>
            </w:r>
          </w:p>
        </w:tc>
      </w:tr>
      <w:tr w:rsidR="00FF2842" w:rsidRPr="00FF2842" w:rsidTr="00783F1F">
        <w:trPr>
          <w:cantSplit/>
          <w:trHeight w:val="171"/>
        </w:trPr>
        <w:tc>
          <w:tcPr>
            <w:tcW w:w="9828" w:type="dxa"/>
            <w:gridSpan w:val="5"/>
            <w:shd w:val="clear" w:color="auto" w:fill="auto"/>
          </w:tcPr>
          <w:p w:rsidR="00FF2842" w:rsidRPr="00FF2842" w:rsidRDefault="00FF2842" w:rsidP="00FF2842">
            <w:pPr>
              <w:widowControl/>
              <w:shd w:val="clear" w:color="auto" w:fill="FFFFFF"/>
              <w:autoSpaceDE/>
              <w:autoSpaceDN/>
              <w:rPr>
                <w:rFonts w:ascii="Arial" w:hAnsi="Arial"/>
                <w:bCs/>
                <w:sz w:val="18"/>
                <w:szCs w:val="18"/>
                <w:lang w:bidi="ar-SA"/>
              </w:rPr>
            </w:pPr>
            <w:proofErr w:type="gramStart"/>
            <w:r w:rsidRPr="00FF2842">
              <w:rPr>
                <w:rFonts w:ascii="Arial" w:hAnsi="Arial"/>
                <w:bCs/>
                <w:sz w:val="18"/>
                <w:szCs w:val="18"/>
                <w:lang w:bidi="ar-SA"/>
              </w:rPr>
              <w:t>Форма  контроля</w:t>
            </w:r>
            <w:proofErr w:type="gramEnd"/>
            <w:r w:rsidRPr="00FF2842">
              <w:rPr>
                <w:rFonts w:ascii="Arial" w:hAnsi="Arial"/>
                <w:bCs/>
                <w:sz w:val="18"/>
                <w:szCs w:val="18"/>
                <w:lang w:bidi="ar-SA"/>
              </w:rPr>
              <w:t xml:space="preserve"> - экзамен</w:t>
            </w:r>
          </w:p>
        </w:tc>
      </w:tr>
      <w:tr w:rsidR="00FF2842" w:rsidRPr="00FF2842" w:rsidTr="00783F1F">
        <w:trPr>
          <w:cantSplit/>
          <w:trHeight w:val="216"/>
        </w:trPr>
        <w:tc>
          <w:tcPr>
            <w:tcW w:w="6228" w:type="dxa"/>
            <w:gridSpan w:val="2"/>
            <w:shd w:val="clear" w:color="auto" w:fill="auto"/>
          </w:tcPr>
          <w:p w:rsidR="00FF2842" w:rsidRPr="00FF2842" w:rsidRDefault="00FF2842" w:rsidP="00FF2842">
            <w:pPr>
              <w:widowControl/>
              <w:shd w:val="clear" w:color="auto" w:fill="FFFFFF"/>
              <w:autoSpaceDE/>
              <w:autoSpaceDN/>
              <w:jc w:val="right"/>
              <w:rPr>
                <w:rFonts w:ascii="Arial" w:hAnsi="Arial"/>
                <w:bCs/>
                <w:sz w:val="18"/>
                <w:szCs w:val="18"/>
                <w:lang w:bidi="ar-SA"/>
              </w:rPr>
            </w:pPr>
            <w:r w:rsidRPr="00FF2842">
              <w:rPr>
                <w:rFonts w:ascii="Arial" w:hAnsi="Arial"/>
                <w:b/>
                <w:bCs/>
                <w:i/>
                <w:sz w:val="18"/>
                <w:szCs w:val="18"/>
                <w:lang w:bidi="ar-SA"/>
              </w:rPr>
              <w:t>ИТОГО</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bCs/>
                <w:sz w:val="18"/>
                <w:szCs w:val="18"/>
                <w:lang w:bidi="ar-SA"/>
              </w:rPr>
            </w:pPr>
            <w:r w:rsidRPr="00FF2842">
              <w:rPr>
                <w:rFonts w:ascii="Arial" w:hAnsi="Arial"/>
                <w:bCs/>
                <w:sz w:val="18"/>
                <w:szCs w:val="18"/>
                <w:lang w:bidi="ar-SA"/>
              </w:rPr>
              <w:t>72</w:t>
            </w:r>
          </w:p>
        </w:tc>
        <w:tc>
          <w:tcPr>
            <w:tcW w:w="1080" w:type="dxa"/>
            <w:shd w:val="clear" w:color="auto" w:fill="auto"/>
          </w:tcPr>
          <w:p w:rsidR="00FF2842" w:rsidRPr="00FF2842" w:rsidRDefault="00FF2842" w:rsidP="00FF2842">
            <w:pPr>
              <w:widowControl/>
              <w:shd w:val="clear" w:color="auto" w:fill="FFFFFF"/>
              <w:autoSpaceDE/>
              <w:autoSpaceDN/>
              <w:jc w:val="center"/>
              <w:rPr>
                <w:rFonts w:ascii="Arial" w:hAnsi="Arial"/>
                <w:sz w:val="18"/>
                <w:szCs w:val="18"/>
                <w:lang w:bidi="ar-SA"/>
              </w:rPr>
            </w:pPr>
            <w:r w:rsidRPr="00FF2842">
              <w:rPr>
                <w:rFonts w:ascii="Arial" w:hAnsi="Arial"/>
                <w:sz w:val="18"/>
                <w:szCs w:val="18"/>
                <w:lang w:bidi="ar-SA"/>
              </w:rPr>
              <w:t>32</w:t>
            </w:r>
          </w:p>
        </w:tc>
        <w:tc>
          <w:tcPr>
            <w:tcW w:w="1260" w:type="dxa"/>
            <w:shd w:val="clear" w:color="auto" w:fill="auto"/>
          </w:tcPr>
          <w:p w:rsidR="00FF2842" w:rsidRPr="00FF2842" w:rsidRDefault="00FF2842" w:rsidP="00FF2842">
            <w:pPr>
              <w:widowControl/>
              <w:shd w:val="clear" w:color="auto" w:fill="FFFFFF"/>
              <w:autoSpaceDE/>
              <w:autoSpaceDN/>
              <w:jc w:val="center"/>
              <w:rPr>
                <w:rFonts w:ascii="Arial" w:hAnsi="Arial"/>
                <w:sz w:val="18"/>
                <w:szCs w:val="18"/>
                <w:lang w:bidi="ar-SA"/>
              </w:rPr>
            </w:pPr>
            <w:r w:rsidRPr="00FF2842">
              <w:rPr>
                <w:rFonts w:ascii="Arial" w:hAnsi="Arial"/>
                <w:sz w:val="18"/>
                <w:szCs w:val="18"/>
                <w:lang w:bidi="ar-SA"/>
              </w:rPr>
              <w:t>40</w:t>
            </w: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FF2842">
        <w:rPr>
          <w:b/>
          <w:sz w:val="20"/>
        </w:rPr>
        <w:t>7 000 (Семь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FF2842">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FF2842">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FF2842">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F2842">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F2842">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F2842">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F2842">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F2842">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60D5D"/>
    <w:rsid w:val="003D31A1"/>
    <w:rsid w:val="00402F9C"/>
    <w:rsid w:val="005047CF"/>
    <w:rsid w:val="005C542A"/>
    <w:rsid w:val="00764087"/>
    <w:rsid w:val="00D07D22"/>
    <w:rsid w:val="00D63ECA"/>
    <w:rsid w:val="00E31367"/>
    <w:rsid w:val="00EB278C"/>
    <w:rsid w:val="00FF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